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F" w:rsidRDefault="00442B74">
      <w:pPr>
        <w:spacing w:line="360" w:lineRule="auto"/>
        <w:ind w:firstLineChars="196" w:firstLine="472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关于南京医科大学附属口腔医院上网行为管理系统</w:t>
      </w:r>
    </w:p>
    <w:p w:rsidR="001B074F" w:rsidRDefault="00442B74">
      <w:pPr>
        <w:spacing w:line="360" w:lineRule="auto"/>
        <w:ind w:firstLineChars="196" w:firstLine="472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</w:t>
      </w:r>
    </w:p>
    <w:p w:rsidR="001B074F" w:rsidRDefault="00442B7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1B074F" w:rsidRDefault="00442B74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项目名称：上网行为管理系统</w:t>
      </w:r>
    </w:p>
    <w:p w:rsidR="001B074F" w:rsidRDefault="00442B74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套</w:t>
      </w:r>
    </w:p>
    <w:bookmarkEnd w:id="0"/>
    <w:bookmarkEnd w:id="1"/>
    <w:p w:rsidR="001B074F" w:rsidRDefault="00442B74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1B074F" w:rsidRDefault="00442B74">
      <w:pPr>
        <w:widowControl/>
        <w:spacing w:line="360" w:lineRule="auto"/>
        <w:ind w:firstLine="42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南京医科大学附属口腔医院拟采购行为管理系统一套，通过医院上网行为数据，对用户行为特征进行深度建模分析，及时分析内部风险行为，持续挖掘数据价值求。</w:t>
      </w:r>
    </w:p>
    <w:p w:rsidR="001B074F" w:rsidRDefault="00442B74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1B074F" w:rsidRDefault="00442B74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1B074F" w:rsidRDefault="001B074F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1B074F" w:rsidRDefault="00442B74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1B074F" w:rsidRDefault="00442B7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1B074F" w:rsidRDefault="00442B74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1B074F" w:rsidRDefault="00442B74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074F" w:rsidRDefault="00442B74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51"/>
        <w:gridCol w:w="1879"/>
        <w:gridCol w:w="716"/>
        <w:gridCol w:w="1212"/>
        <w:gridCol w:w="717"/>
        <w:gridCol w:w="2391"/>
      </w:tblGrid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074F" w:rsidRDefault="00442B7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CANS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或国际权威检测机构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不合格）</w:t>
            </w: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B0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442B7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F" w:rsidRDefault="001B074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074F" w:rsidRDefault="00442B7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1B074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1B074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74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442B7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F" w:rsidRDefault="001B07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B074F" w:rsidRDefault="00442B7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1B074F" w:rsidRDefault="00442B7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1B074F" w:rsidRDefault="00442B74">
      <w:pPr>
        <w:pStyle w:val="a8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1B074F">
        <w:tc>
          <w:tcPr>
            <w:tcW w:w="1939" w:type="dxa"/>
            <w:gridSpan w:val="2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1B074F" w:rsidRDefault="00442B74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</w:tr>
      <w:tr w:rsidR="001B074F">
        <w:tc>
          <w:tcPr>
            <w:tcW w:w="876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1B074F">
        <w:tc>
          <w:tcPr>
            <w:tcW w:w="876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B074F">
        <w:tc>
          <w:tcPr>
            <w:tcW w:w="876" w:type="dxa"/>
          </w:tcPr>
          <w:p w:rsidR="001B074F" w:rsidRDefault="00442B7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B074F">
        <w:tc>
          <w:tcPr>
            <w:tcW w:w="876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1B074F" w:rsidRDefault="001B074F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B074F">
        <w:tc>
          <w:tcPr>
            <w:tcW w:w="1939" w:type="dxa"/>
            <w:gridSpan w:val="2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</w:t>
            </w:r>
          </w:p>
          <w:p w:rsidR="001B074F" w:rsidRDefault="00442B74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元整）</w:t>
            </w:r>
          </w:p>
        </w:tc>
      </w:tr>
      <w:tr w:rsidR="001B074F">
        <w:trPr>
          <w:trHeight w:val="680"/>
        </w:trPr>
        <w:tc>
          <w:tcPr>
            <w:tcW w:w="1939" w:type="dxa"/>
            <w:gridSpan w:val="2"/>
            <w:vAlign w:val="center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1B074F">
        <w:trPr>
          <w:trHeight w:val="680"/>
        </w:trPr>
        <w:tc>
          <w:tcPr>
            <w:tcW w:w="1939" w:type="dxa"/>
            <w:gridSpan w:val="2"/>
            <w:vAlign w:val="center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1B074F" w:rsidRDefault="001B074F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B074F">
        <w:trPr>
          <w:trHeight w:val="680"/>
        </w:trPr>
        <w:tc>
          <w:tcPr>
            <w:tcW w:w="1939" w:type="dxa"/>
            <w:gridSpan w:val="2"/>
            <w:vAlign w:val="center"/>
          </w:tcPr>
          <w:p w:rsidR="001B074F" w:rsidRDefault="00442B7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1B074F" w:rsidRDefault="001B074F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1B074F" w:rsidRDefault="001B074F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1B074F" w:rsidRDefault="00442B74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1B074F" w:rsidRDefault="001B074F">
      <w:pPr>
        <w:widowControl/>
        <w:topLinePunct/>
        <w:snapToGrid w:val="0"/>
        <w:spacing w:before="4" w:line="360" w:lineRule="auto"/>
        <w:ind w:firstLineChars="1540" w:firstLine="3710"/>
        <w:rPr>
          <w:rFonts w:ascii="宋体" w:hAnsi="宋体"/>
          <w:b/>
          <w:bCs/>
          <w:sz w:val="24"/>
          <w:szCs w:val="24"/>
        </w:rPr>
      </w:pPr>
    </w:p>
    <w:p w:rsidR="001B074F" w:rsidRDefault="00442B74">
      <w:pPr>
        <w:widowControl/>
        <w:topLinePunct/>
        <w:snapToGrid w:val="0"/>
        <w:spacing w:before="4" w:line="360" w:lineRule="auto"/>
        <w:ind w:firstLineChars="1590" w:firstLine="3831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</w:rPr>
        <w:t>单位名称（公章）：</w:t>
      </w:r>
    </w:p>
    <w:p w:rsidR="001B074F" w:rsidRDefault="00442B74">
      <w:pPr>
        <w:widowControl/>
        <w:topLinePunct/>
        <w:snapToGrid w:val="0"/>
        <w:spacing w:before="4" w:line="360" w:lineRule="auto"/>
        <w:ind w:firstLineChars="1040" w:firstLine="250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法定代表人（授权代表）签名：</w:t>
      </w:r>
    </w:p>
    <w:p w:rsidR="001B074F" w:rsidRDefault="00442B74">
      <w:pPr>
        <w:spacing w:line="460" w:lineRule="exact"/>
        <w:ind w:firstLine="49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</w:t>
      </w:r>
      <w:r>
        <w:rPr>
          <w:rFonts w:ascii="宋体" w:hAnsi="宋体" w:hint="eastAsia"/>
          <w:b/>
          <w:bCs/>
          <w:sz w:val="24"/>
          <w:szCs w:val="24"/>
        </w:rPr>
        <w:t>联系电话（手机）：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</w:p>
    <w:p w:rsidR="001B074F" w:rsidRDefault="00442B7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</w:p>
    <w:p w:rsidR="001B074F" w:rsidRDefault="001B074F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1B074F" w:rsidRPr="006D244F" w:rsidRDefault="00442B74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>
        <w:rPr>
          <w:rFonts w:ascii="宋体" w:hAnsi="宋体" w:hint="eastAsia"/>
          <w:b/>
          <w:sz w:val="24"/>
          <w:szCs w:val="24"/>
        </w:rPr>
        <w:t>时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间</w:t>
      </w:r>
      <w:r w:rsidRPr="006D244F">
        <w:rPr>
          <w:rFonts w:ascii="宋体" w:hAnsi="宋体" w:hint="eastAsia"/>
          <w:b/>
          <w:sz w:val="24"/>
          <w:szCs w:val="24"/>
        </w:rPr>
        <w:t>：</w:t>
      </w:r>
      <w:r w:rsidRPr="006D244F">
        <w:rPr>
          <w:rFonts w:ascii="宋体" w:hAnsi="宋体" w:hint="eastAsia"/>
          <w:sz w:val="24"/>
          <w:szCs w:val="24"/>
        </w:rPr>
        <w:t>2022</w:t>
      </w:r>
      <w:r w:rsidRPr="006D244F">
        <w:rPr>
          <w:rFonts w:ascii="宋体" w:hAnsi="宋体" w:hint="eastAsia"/>
          <w:sz w:val="24"/>
          <w:szCs w:val="24"/>
        </w:rPr>
        <w:t>年</w:t>
      </w:r>
      <w:r w:rsidR="00ED05ED" w:rsidRPr="006D244F">
        <w:rPr>
          <w:rFonts w:ascii="宋体" w:hAnsi="宋体" w:hint="eastAsia"/>
          <w:sz w:val="24"/>
          <w:szCs w:val="24"/>
        </w:rPr>
        <w:t>9</w:t>
      </w:r>
      <w:r w:rsidRPr="006D244F">
        <w:rPr>
          <w:rFonts w:ascii="宋体" w:hAnsi="宋体" w:hint="eastAsia"/>
          <w:sz w:val="24"/>
          <w:szCs w:val="24"/>
        </w:rPr>
        <w:t>月</w:t>
      </w:r>
      <w:r w:rsidR="00ED05ED" w:rsidRPr="006D244F">
        <w:rPr>
          <w:rFonts w:ascii="宋体" w:hAnsi="宋体" w:hint="eastAsia"/>
          <w:sz w:val="24"/>
          <w:szCs w:val="24"/>
        </w:rPr>
        <w:t>6</w:t>
      </w:r>
      <w:r w:rsidRPr="006D244F">
        <w:rPr>
          <w:rFonts w:ascii="宋体" w:hAnsi="宋体" w:hint="eastAsia"/>
          <w:sz w:val="24"/>
          <w:szCs w:val="24"/>
        </w:rPr>
        <w:t>日</w:t>
      </w:r>
      <w:r w:rsidRPr="006D244F">
        <w:rPr>
          <w:rFonts w:ascii="宋体" w:hAnsi="宋体" w:hint="eastAsia"/>
          <w:sz w:val="24"/>
          <w:szCs w:val="24"/>
        </w:rPr>
        <w:t>(</w:t>
      </w:r>
      <w:r w:rsidRPr="006D244F">
        <w:rPr>
          <w:rFonts w:ascii="宋体" w:hAnsi="宋体" w:hint="eastAsia"/>
          <w:sz w:val="24"/>
          <w:szCs w:val="24"/>
        </w:rPr>
        <w:t>星期</w:t>
      </w:r>
      <w:r w:rsidR="00ED05ED" w:rsidRPr="006D244F">
        <w:rPr>
          <w:rFonts w:ascii="宋体" w:hAnsi="宋体" w:hint="eastAsia"/>
          <w:sz w:val="24"/>
          <w:szCs w:val="24"/>
        </w:rPr>
        <w:t>二</w:t>
      </w:r>
      <w:r w:rsidRPr="006D244F">
        <w:rPr>
          <w:rFonts w:ascii="宋体" w:hAnsi="宋体" w:hint="eastAsia"/>
          <w:sz w:val="24"/>
          <w:szCs w:val="24"/>
        </w:rPr>
        <w:t>)</w:t>
      </w:r>
      <w:r w:rsidR="00ED05ED" w:rsidRPr="006D244F">
        <w:rPr>
          <w:rFonts w:ascii="宋体" w:hAnsi="宋体" w:hint="eastAsia"/>
          <w:sz w:val="24"/>
          <w:szCs w:val="24"/>
        </w:rPr>
        <w:t>上</w:t>
      </w:r>
      <w:r w:rsidRPr="006D244F">
        <w:rPr>
          <w:rFonts w:ascii="宋体" w:hAnsi="宋体" w:hint="eastAsia"/>
          <w:sz w:val="24"/>
          <w:szCs w:val="24"/>
        </w:rPr>
        <w:t>午</w:t>
      </w:r>
      <w:r w:rsidR="00ED05ED" w:rsidRPr="006D244F">
        <w:rPr>
          <w:rFonts w:ascii="宋体" w:hAnsi="宋体" w:hint="eastAsia"/>
          <w:sz w:val="24"/>
          <w:szCs w:val="24"/>
        </w:rPr>
        <w:t>9:0</w:t>
      </w:r>
      <w:r w:rsidRPr="006D244F">
        <w:rPr>
          <w:rFonts w:ascii="宋体" w:hAnsi="宋体" w:hint="eastAsia"/>
          <w:sz w:val="24"/>
          <w:szCs w:val="24"/>
        </w:rPr>
        <w:t>0</w:t>
      </w:r>
    </w:p>
    <w:p w:rsidR="001B074F" w:rsidRDefault="00442B74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6D244F">
        <w:rPr>
          <w:rFonts w:ascii="宋体" w:hAnsi="宋体" w:hint="eastAsia"/>
          <w:sz w:val="24"/>
          <w:szCs w:val="24"/>
        </w:rPr>
        <w:t>（请各供应商委派技术人员参会）</w:t>
      </w:r>
    </w:p>
    <w:p w:rsidR="001B074F" w:rsidRDefault="00442B74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点：</w:t>
      </w:r>
      <w:r>
        <w:rPr>
          <w:rFonts w:ascii="宋体" w:hAnsi="宋体" w:hint="eastAsia"/>
          <w:sz w:val="24"/>
          <w:szCs w:val="24"/>
        </w:rPr>
        <w:t>江苏省口腔医院新综合楼十三楼</w:t>
      </w:r>
      <w:r>
        <w:rPr>
          <w:rFonts w:ascii="宋体" w:hAnsi="宋体" w:hint="eastAsia"/>
          <w:sz w:val="24"/>
          <w:szCs w:val="24"/>
        </w:rPr>
        <w:t>1301</w:t>
      </w:r>
      <w:r>
        <w:rPr>
          <w:rFonts w:ascii="宋体" w:hAnsi="宋体" w:hint="eastAsia"/>
          <w:sz w:val="24"/>
          <w:szCs w:val="24"/>
        </w:rPr>
        <w:t>会议室</w:t>
      </w:r>
    </w:p>
    <w:p w:rsidR="001B074F" w:rsidRDefault="00442B74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陈主任</w:t>
      </w:r>
      <w:r>
        <w:rPr>
          <w:rFonts w:ascii="宋体" w:hAnsi="宋体" w:hint="eastAsia"/>
          <w:sz w:val="24"/>
          <w:szCs w:val="24"/>
        </w:rPr>
        <w:t xml:space="preserve">        </w:t>
      </w:r>
      <w:bookmarkStart w:id="2" w:name="_GoBack"/>
      <w:bookmarkEnd w:id="2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69593126</w:t>
      </w:r>
    </w:p>
    <w:p w:rsidR="001B074F" w:rsidRDefault="00442B7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李老师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69593106</w:t>
      </w:r>
    </w:p>
    <w:p w:rsidR="001B074F" w:rsidRDefault="00442B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1B074F" w:rsidRDefault="00442B7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1B074F" w:rsidRDefault="001B074F">
      <w:pPr>
        <w:widowControl/>
        <w:spacing w:line="360" w:lineRule="auto"/>
        <w:ind w:firstLine="42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p w:rsidR="001B074F" w:rsidRDefault="00442B74">
      <w:pPr>
        <w:spacing w:line="360" w:lineRule="auto"/>
        <w:ind w:left="36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附件：上网行为管理系统技术参数要求</w:t>
      </w:r>
    </w:p>
    <w:tbl>
      <w:tblPr>
        <w:tblStyle w:val="TableNormal"/>
        <w:tblW w:w="8360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2"/>
        <w:gridCol w:w="6988"/>
      </w:tblGrid>
      <w:tr w:rsidR="001B074F">
        <w:trPr>
          <w:trHeight w:val="42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指标项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技术规格要求</w:t>
            </w:r>
          </w:p>
        </w:tc>
      </w:tr>
      <w:tr w:rsidR="001B074F">
        <w:trPr>
          <w:trHeight w:val="9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硬件规格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★提供不少于一台行为管理设备，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网络层吞吐量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12Gb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，应用层吞吐量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2.7Gb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，带宽性能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1.5Gbps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IPSEC VPN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加密性能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500Mb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，支持用户数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10000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，包转发率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224Kpps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，每秒新建连接数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20000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，最大并发连接数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800000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Hans"/>
              </w:rPr>
              <w:t>设备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，内存大小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8G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，硬盘容量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64G SSD+960G SSD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，双电源，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个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千兆电口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，≥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个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千兆光口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个万兆光口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年产品质保，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年软件升级</w:t>
            </w:r>
          </w:p>
        </w:tc>
      </w:tr>
      <w:tr w:rsidR="001B074F">
        <w:trPr>
          <w:trHeight w:val="77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IPv6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支持部署在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环境中，设备接口及部署模式均支持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配置，所有核心功能（上网认证、应用控制、流量控制、内容审计、日志报表等）都支持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</w:t>
            </w:r>
          </w:p>
        </w:tc>
      </w:tr>
      <w:tr w:rsidR="001B074F">
        <w:trPr>
          <w:trHeight w:val="334"/>
        </w:trPr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部署方式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支持网关模式，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网桥，旁路等部署方式，满足与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现网行为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管理设备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备模式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部署；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（提供产品界面截图）</w:t>
            </w:r>
          </w:p>
        </w:tc>
      </w:tr>
      <w:tr w:rsidR="001B074F">
        <w:trPr>
          <w:trHeight w:val="223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访问质量检测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针对内网用户的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访问质量进行检测，对整体网络提供清晰的整体网络质量评级；</w:t>
            </w:r>
          </w:p>
        </w:tc>
      </w:tr>
      <w:tr w:rsidR="001B074F">
        <w:trPr>
          <w:trHeight w:val="574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支持以列表形式展示访问质量差的用户名单，支持对单用户进行定向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访问质量检测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;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（提供产品界面截图）</w:t>
            </w:r>
          </w:p>
        </w:tc>
      </w:tr>
      <w:tr w:rsidR="001B074F">
        <w:trPr>
          <w:trHeight w:val="8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应用标签功能分类管理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支持根据标签选择应用，标签分类至少包含安全风险、高带宽消耗、发送电子邮件、降低工作效率、外发文件泄密风险、主流论坛和微博发帖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大类；支持给每个应用自定义标签；</w:t>
            </w:r>
          </w:p>
        </w:tc>
      </w:tr>
      <w:tr w:rsidR="001B074F">
        <w:trPr>
          <w:trHeight w:val="53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应用识别规则库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★设备内置应用识别规则库，支持超过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10000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条应用规则数，支持超过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6500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种以上的应用，并保持每两个星期更新一次，保证应用识别的准确率；（提供第三方检测机构证明或功能截图）；</w:t>
            </w:r>
          </w:p>
        </w:tc>
      </w:tr>
      <w:tr w:rsidR="001B074F">
        <w:trPr>
          <w:trHeight w:val="30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lastRenderedPageBreak/>
              <w:t>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RL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识别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URL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万以上，包含分类数量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个以上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（提供第三方机构检测报告证明）</w:t>
            </w:r>
          </w:p>
        </w:tc>
      </w:tr>
      <w:tr w:rsidR="001B074F">
        <w:trPr>
          <w:trHeight w:val="13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终端资产管理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支持图形化查看当前内网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使用情况，帮助管理员减少人工维护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表的工作量；</w:t>
            </w:r>
          </w:p>
        </w:tc>
      </w:tr>
      <w:tr w:rsidR="001B074F">
        <w:trPr>
          <w:trHeight w:val="470"/>
        </w:trPr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SSL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加密网页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★识别并过滤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SSL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加密的钓鱼网站、金融购物网站、非法网站等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（提供产品界面截图或自主知识产权证明）</w:t>
            </w:r>
          </w:p>
        </w:tc>
      </w:tr>
      <w:tr w:rsidR="001B074F">
        <w:trPr>
          <w:trHeight w:val="90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外联检查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支持终端安全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检查规则，新增外联检查规则</w:t>
            </w:r>
          </w:p>
        </w:tc>
      </w:tr>
      <w:tr w:rsidR="001B074F">
        <w:trPr>
          <w:trHeight w:val="292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检查到非法外联行为后，支持发送告警邮件、断网的违规处理配置；</w:t>
            </w:r>
          </w:p>
        </w:tc>
      </w:tr>
      <w:tr w:rsidR="001B074F">
        <w:trPr>
          <w:trHeight w:val="172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支持用户违规断网后，重启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PC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可恢复网络连接；</w:t>
            </w:r>
          </w:p>
        </w:tc>
      </w:tr>
      <w:tr w:rsidR="001B074F">
        <w:trPr>
          <w:trHeight w:val="28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补丁检测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支持检测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windows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重要补丁的安装情况，并反馈检测结果；</w:t>
            </w:r>
          </w:p>
        </w:tc>
      </w:tr>
      <w:tr w:rsidR="001B074F">
        <w:trPr>
          <w:trHeight w:val="9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应用细分控制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能够对新浪微博、腾讯微博、网易微博等进行细分控制，如：登录、浏览、发微博、上传附件等；能够对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teamview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QQ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远程桌面等远程控制应用做细分控制，如：接受对方远程控制；能够对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Github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、百度网盘、百度文库等网络应用的上传动作进行细分控制；</w:t>
            </w:r>
          </w:p>
        </w:tc>
      </w:tr>
      <w:tr w:rsidR="001B074F">
        <w:trPr>
          <w:trHeight w:val="53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P2P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智能流控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★支持通过抑制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P2P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的上行流量，来减缓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P2P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的下行流量，从而解决网络出口在做流控后仍然压力较大的问题；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（提供产品界面截图）</w:t>
            </w:r>
          </w:p>
        </w:tc>
      </w:tr>
      <w:tr w:rsidR="001B074F">
        <w:trPr>
          <w:trHeight w:val="644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流控黑名单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基于“流量”、“流速”、“时长”设置配额，当配额耗尽后，将用户加入到指定的流控黑名单惩罚通道中；</w:t>
            </w:r>
          </w:p>
        </w:tc>
      </w:tr>
      <w:tr w:rsidR="001B074F">
        <w:trPr>
          <w:trHeight w:val="58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支持与公安日志平台对接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★内置多套日志模板与各省市网安日志平台对接，至少支持以下平台：派博、任子行、网博、云辰、烽火、中新软件、兆物、新网程、美亚柏科、爱思等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（提供产品界面截图）</w:t>
            </w:r>
          </w:p>
        </w:tc>
      </w:tr>
      <w:tr w:rsidR="001B074F">
        <w:trPr>
          <w:trHeight w:val="581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多产品联动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能够与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Hans"/>
              </w:rPr>
              <w:t>现有出口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防火墙系统实现认证联动，同时部署产品后，可以实现认证同步机制，实现单点登录；（提供截图证明文件）</w:t>
            </w:r>
          </w:p>
        </w:tc>
      </w:tr>
      <w:tr w:rsidR="001B074F">
        <w:trPr>
          <w:trHeight w:val="64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442B7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能够与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Hans"/>
              </w:rPr>
              <w:t>现有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安全态势感知产品实现联动，实现用户同步，以基于用户身份进行威胁分析；（提供截图证明文件）</w:t>
            </w:r>
          </w:p>
        </w:tc>
      </w:tr>
      <w:tr w:rsidR="001B074F">
        <w:trPr>
          <w:trHeight w:val="34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产品资质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应为市场成熟产品，最近两年在国内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IDC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内容安全市场占有率排名都在前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3</w:t>
            </w:r>
          </w:p>
        </w:tc>
      </w:tr>
      <w:tr w:rsidR="001B074F">
        <w:trPr>
          <w:trHeight w:val="32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公安部颁发的：《网络通讯安全审计产品销售许可证》</w:t>
            </w:r>
          </w:p>
        </w:tc>
      </w:tr>
      <w:tr w:rsidR="001B074F">
        <w:trPr>
          <w:trHeight w:val="19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产商资质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国家标准《信息安全技术信息系统安全审计产品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技术要求和测试评价方法》的主要起草单位</w:t>
            </w:r>
          </w:p>
        </w:tc>
      </w:tr>
      <w:tr w:rsidR="001B074F">
        <w:trPr>
          <w:trHeight w:val="24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74F" w:rsidRDefault="001B074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74F" w:rsidRDefault="00442B7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国家应急中心应急支撑单位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CNCERT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证书（国家级）</w:t>
            </w:r>
          </w:p>
        </w:tc>
      </w:tr>
    </w:tbl>
    <w:p w:rsidR="001B074F" w:rsidRDefault="001B074F">
      <w:pPr>
        <w:widowControl/>
        <w:spacing w:line="360" w:lineRule="auto"/>
        <w:ind w:firstLine="42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sectPr w:rsidR="001B074F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74" w:rsidRDefault="00442B74">
      <w:r>
        <w:separator/>
      </w:r>
    </w:p>
  </w:endnote>
  <w:endnote w:type="continuationSeparator" w:id="0">
    <w:p w:rsidR="00442B74" w:rsidRDefault="0044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4F" w:rsidRDefault="00442B74">
    <w:pPr>
      <w:pStyle w:val="a5"/>
      <w:framePr w:wrap="around" w:vAnchor="text" w:hAnchor="margin" w:xAlign="center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D244F">
      <w:rPr>
        <w:rStyle w:val="a7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1B074F" w:rsidRDefault="001B074F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4F" w:rsidRDefault="00442B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1B074F" w:rsidRDefault="001B0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74" w:rsidRDefault="00442B74">
      <w:r>
        <w:separator/>
      </w:r>
    </w:p>
  </w:footnote>
  <w:footnote w:type="continuationSeparator" w:id="0">
    <w:p w:rsidR="00442B74" w:rsidRDefault="0044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4F" w:rsidRDefault="001B074F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5D42"/>
    <w:rsid w:val="00017FE0"/>
    <w:rsid w:val="00047CE4"/>
    <w:rsid w:val="00055D7B"/>
    <w:rsid w:val="000B16E7"/>
    <w:rsid w:val="000D0CBD"/>
    <w:rsid w:val="000D53CD"/>
    <w:rsid w:val="00100FE6"/>
    <w:rsid w:val="001226DB"/>
    <w:rsid w:val="001326B1"/>
    <w:rsid w:val="001413A4"/>
    <w:rsid w:val="00144B46"/>
    <w:rsid w:val="001B074F"/>
    <w:rsid w:val="001B19F6"/>
    <w:rsid w:val="00211E9C"/>
    <w:rsid w:val="00237AD7"/>
    <w:rsid w:val="00266A73"/>
    <w:rsid w:val="00273C0B"/>
    <w:rsid w:val="002912CE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42B74"/>
    <w:rsid w:val="00450AC5"/>
    <w:rsid w:val="00457C2A"/>
    <w:rsid w:val="004C24D0"/>
    <w:rsid w:val="004E78C2"/>
    <w:rsid w:val="00505BF2"/>
    <w:rsid w:val="00520936"/>
    <w:rsid w:val="005925DD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6D244F"/>
    <w:rsid w:val="00700847"/>
    <w:rsid w:val="00736926"/>
    <w:rsid w:val="00742F84"/>
    <w:rsid w:val="007958B3"/>
    <w:rsid w:val="007F18DA"/>
    <w:rsid w:val="0084503E"/>
    <w:rsid w:val="008522FE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C0F79"/>
    <w:rsid w:val="009C35A9"/>
    <w:rsid w:val="009D15C7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55FF9"/>
    <w:rsid w:val="00BE4448"/>
    <w:rsid w:val="00C502E6"/>
    <w:rsid w:val="00C54CAE"/>
    <w:rsid w:val="00C720F0"/>
    <w:rsid w:val="00C85BF8"/>
    <w:rsid w:val="00CB4C4F"/>
    <w:rsid w:val="00CD199F"/>
    <w:rsid w:val="00D82B1A"/>
    <w:rsid w:val="00DA7D23"/>
    <w:rsid w:val="00DE2CF4"/>
    <w:rsid w:val="00E16E73"/>
    <w:rsid w:val="00E3191C"/>
    <w:rsid w:val="00E34A76"/>
    <w:rsid w:val="00E62EEF"/>
    <w:rsid w:val="00E709BE"/>
    <w:rsid w:val="00E82615"/>
    <w:rsid w:val="00E920A5"/>
    <w:rsid w:val="00EB0A51"/>
    <w:rsid w:val="00EC6FB7"/>
    <w:rsid w:val="00ED05ED"/>
    <w:rsid w:val="00ED0D5C"/>
    <w:rsid w:val="00EF310E"/>
    <w:rsid w:val="00F065C4"/>
    <w:rsid w:val="00F147F0"/>
    <w:rsid w:val="00F32565"/>
    <w:rsid w:val="00F6258F"/>
    <w:rsid w:val="00F64315"/>
    <w:rsid w:val="00F645F9"/>
    <w:rsid w:val="00FF5B7C"/>
    <w:rsid w:val="0AEF37CC"/>
    <w:rsid w:val="147B68A8"/>
    <w:rsid w:val="2D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2308</Characters>
  <Application>Microsoft Office Word</Application>
  <DocSecurity>0</DocSecurity>
  <Lines>19</Lines>
  <Paragraphs>5</Paragraphs>
  <ScaleCrop>false</ScaleCrop>
  <Company>P R C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116</cp:revision>
  <dcterms:created xsi:type="dcterms:W3CDTF">2019-04-28T09:32:00Z</dcterms:created>
  <dcterms:modified xsi:type="dcterms:W3CDTF">2022-08-26T02:33:00Z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CAE3148CBB874E2C9666293DD51CFC58</vt:lpwstr>
  </property>
</Properties>
</file>