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17" w:rsidRDefault="008C2D85">
      <w:pPr>
        <w:spacing w:line="360" w:lineRule="auto"/>
        <w:ind w:firstLineChars="196" w:firstLine="472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关于南京医科大学附属口腔医院身份准入系统</w:t>
      </w:r>
    </w:p>
    <w:p w:rsidR="00B71917" w:rsidRDefault="008C2D85">
      <w:pPr>
        <w:spacing w:line="360" w:lineRule="auto"/>
        <w:ind w:firstLineChars="196" w:firstLine="472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</w:t>
      </w:r>
    </w:p>
    <w:p w:rsidR="00B71917" w:rsidRDefault="008C2D85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B71917" w:rsidRDefault="008C2D85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项目名称：身份准入系统</w:t>
      </w:r>
    </w:p>
    <w:p w:rsidR="00B71917" w:rsidRDefault="008C2D85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数量：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套</w:t>
      </w:r>
    </w:p>
    <w:bookmarkEnd w:id="0"/>
    <w:bookmarkEnd w:id="1"/>
    <w:p w:rsidR="00B71917" w:rsidRDefault="008C2D85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B71917" w:rsidRDefault="008C2D8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南京医科大学附属口腔医院拟采购身份准入系统一套，通过控制终端违规外联和外部用户入网认证，保障医院重要数据不丢失，防止业务敏感数据泄露，推动数据外发可视。</w:t>
      </w:r>
    </w:p>
    <w:p w:rsidR="00B71917" w:rsidRDefault="008C2D85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B71917" w:rsidRDefault="008C2D85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B71917" w:rsidRDefault="00B71917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B71917" w:rsidRDefault="008C2D85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B71917" w:rsidRDefault="008C2D8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B71917" w:rsidRDefault="008C2D85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B71917" w:rsidRDefault="008C2D85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40"/>
        <w:gridCol w:w="2107"/>
        <w:gridCol w:w="2114"/>
        <w:gridCol w:w="2633"/>
      </w:tblGrid>
      <w:tr w:rsidR="00B7191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7191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8C2D8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7191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8C2D8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1917" w:rsidRDefault="008C2D85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2107"/>
        <w:gridCol w:w="2114"/>
        <w:gridCol w:w="2633"/>
      </w:tblGrid>
      <w:tr w:rsidR="00B71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71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8C2D8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71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8C2D8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1917" w:rsidRDefault="008C2D85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B7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CANS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不合格）</w:t>
            </w:r>
          </w:p>
        </w:tc>
      </w:tr>
      <w:tr w:rsidR="00B7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8C2D8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719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8C2D8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17" w:rsidRDefault="00B71917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1917" w:rsidRDefault="008C2D85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lastRenderedPageBreak/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2268"/>
      </w:tblGrid>
      <w:tr w:rsidR="00B71917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B71917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917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8C2D8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17" w:rsidRDefault="00B719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71917" w:rsidRDefault="008C2D85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B71917" w:rsidRDefault="008C2D85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B71917" w:rsidRDefault="008C2D85">
      <w:pPr>
        <w:pStyle w:val="a8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B71917">
        <w:tc>
          <w:tcPr>
            <w:tcW w:w="1939" w:type="dxa"/>
            <w:gridSpan w:val="2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B71917" w:rsidRDefault="008C2D85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</w:tr>
      <w:tr w:rsidR="00B71917">
        <w:tc>
          <w:tcPr>
            <w:tcW w:w="876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B71917">
        <w:tc>
          <w:tcPr>
            <w:tcW w:w="876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71917">
        <w:tc>
          <w:tcPr>
            <w:tcW w:w="876" w:type="dxa"/>
          </w:tcPr>
          <w:p w:rsidR="00B71917" w:rsidRDefault="008C2D85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71917">
        <w:tc>
          <w:tcPr>
            <w:tcW w:w="876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1917" w:rsidRDefault="00B71917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71917">
        <w:tc>
          <w:tcPr>
            <w:tcW w:w="1939" w:type="dxa"/>
            <w:gridSpan w:val="2"/>
          </w:tcPr>
          <w:p w:rsidR="00B71917" w:rsidRDefault="008C2D85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B71917" w:rsidRDefault="008C2D85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元整</w:t>
            </w:r>
          </w:p>
          <w:p w:rsidR="00B71917" w:rsidRDefault="008C2D85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元整）</w:t>
            </w:r>
          </w:p>
        </w:tc>
      </w:tr>
      <w:tr w:rsidR="00B71917">
        <w:trPr>
          <w:trHeight w:val="680"/>
        </w:trPr>
        <w:tc>
          <w:tcPr>
            <w:tcW w:w="1939" w:type="dxa"/>
            <w:gridSpan w:val="2"/>
            <w:vAlign w:val="center"/>
          </w:tcPr>
          <w:p w:rsidR="00B71917" w:rsidRDefault="008C2D85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B71917" w:rsidRDefault="008C2D85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合同后（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B71917">
        <w:trPr>
          <w:trHeight w:val="680"/>
        </w:trPr>
        <w:tc>
          <w:tcPr>
            <w:tcW w:w="1939" w:type="dxa"/>
            <w:gridSpan w:val="2"/>
            <w:vAlign w:val="center"/>
          </w:tcPr>
          <w:p w:rsidR="00B71917" w:rsidRDefault="008C2D85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B71917" w:rsidRDefault="00B7191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71917">
        <w:trPr>
          <w:trHeight w:val="680"/>
        </w:trPr>
        <w:tc>
          <w:tcPr>
            <w:tcW w:w="1939" w:type="dxa"/>
            <w:gridSpan w:val="2"/>
            <w:vAlign w:val="center"/>
          </w:tcPr>
          <w:p w:rsidR="00B71917" w:rsidRDefault="008C2D85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B71917" w:rsidRDefault="00B71917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B71917" w:rsidRDefault="00B71917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B71917" w:rsidRDefault="008C2D85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>
        <w:rPr>
          <w:rFonts w:ascii="宋体" w:hAnsi="宋体" w:hint="eastAsia"/>
          <w:b/>
          <w:sz w:val="24"/>
          <w:szCs w:val="24"/>
        </w:rPr>
        <w:t>耗材需</w:t>
      </w:r>
      <w:proofErr w:type="gramEnd"/>
      <w:r>
        <w:rPr>
          <w:rFonts w:ascii="宋体" w:hAnsi="宋体" w:hint="eastAsia"/>
          <w:b/>
          <w:sz w:val="24"/>
          <w:szCs w:val="24"/>
        </w:rPr>
        <w:t>同时提供报价</w:t>
      </w:r>
    </w:p>
    <w:p w:rsidR="00B71917" w:rsidRDefault="00B71917">
      <w:pPr>
        <w:widowControl/>
        <w:topLinePunct/>
        <w:snapToGrid w:val="0"/>
        <w:spacing w:before="4" w:line="360" w:lineRule="auto"/>
        <w:ind w:firstLineChars="1540" w:firstLine="3710"/>
        <w:rPr>
          <w:rFonts w:ascii="宋体" w:hAnsi="宋体"/>
          <w:b/>
          <w:bCs/>
          <w:sz w:val="24"/>
          <w:szCs w:val="24"/>
        </w:rPr>
      </w:pPr>
    </w:p>
    <w:p w:rsidR="00B71917" w:rsidRDefault="008C2D85">
      <w:pPr>
        <w:widowControl/>
        <w:topLinePunct/>
        <w:snapToGrid w:val="0"/>
        <w:spacing w:before="4" w:line="360" w:lineRule="auto"/>
        <w:ind w:firstLineChars="1590" w:firstLine="3831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24"/>
          <w:szCs w:val="24"/>
        </w:rPr>
        <w:t>单位名称（公章）：</w:t>
      </w:r>
    </w:p>
    <w:p w:rsidR="00B71917" w:rsidRDefault="008C2D85">
      <w:pPr>
        <w:widowControl/>
        <w:topLinePunct/>
        <w:snapToGrid w:val="0"/>
        <w:spacing w:before="4" w:line="360" w:lineRule="auto"/>
        <w:ind w:firstLineChars="1040" w:firstLine="250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法定代表人（授权代表）签名：</w:t>
      </w:r>
    </w:p>
    <w:p w:rsidR="00B71917" w:rsidRDefault="008C2D85">
      <w:pPr>
        <w:spacing w:line="460" w:lineRule="exact"/>
        <w:ind w:firstLine="49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</w:t>
      </w:r>
      <w:r>
        <w:rPr>
          <w:rFonts w:ascii="宋体" w:hAnsi="宋体" w:hint="eastAsia"/>
          <w:b/>
          <w:bCs/>
          <w:sz w:val="24"/>
          <w:szCs w:val="24"/>
        </w:rPr>
        <w:t>联系电话（手机）：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</w:p>
    <w:p w:rsidR="00B71917" w:rsidRDefault="008C2D85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</w:p>
    <w:p w:rsidR="00B71917" w:rsidRDefault="00B71917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B71917" w:rsidRPr="00B503B2" w:rsidRDefault="008C2D85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>
        <w:rPr>
          <w:rFonts w:ascii="宋体" w:hAnsi="宋体" w:hint="eastAsia"/>
          <w:b/>
          <w:sz w:val="24"/>
          <w:szCs w:val="24"/>
        </w:rPr>
        <w:t>时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间</w:t>
      </w:r>
      <w:bookmarkStart w:id="2" w:name="_GoBack"/>
      <w:bookmarkEnd w:id="2"/>
      <w:r w:rsidRPr="00B503B2">
        <w:rPr>
          <w:rFonts w:ascii="宋体" w:hAnsi="宋体" w:hint="eastAsia"/>
          <w:b/>
          <w:sz w:val="24"/>
          <w:szCs w:val="24"/>
        </w:rPr>
        <w:t>：</w:t>
      </w:r>
      <w:r w:rsidRPr="00B503B2">
        <w:rPr>
          <w:rFonts w:ascii="宋体" w:hAnsi="宋体" w:hint="eastAsia"/>
          <w:sz w:val="24"/>
          <w:szCs w:val="24"/>
        </w:rPr>
        <w:t>2022</w:t>
      </w:r>
      <w:r w:rsidRPr="00B503B2">
        <w:rPr>
          <w:rFonts w:ascii="宋体" w:hAnsi="宋体" w:hint="eastAsia"/>
          <w:sz w:val="24"/>
          <w:szCs w:val="24"/>
        </w:rPr>
        <w:t>年</w:t>
      </w:r>
      <w:r w:rsidR="00437529" w:rsidRPr="00B503B2">
        <w:rPr>
          <w:rFonts w:ascii="宋体" w:hAnsi="宋体" w:hint="eastAsia"/>
          <w:sz w:val="24"/>
          <w:szCs w:val="24"/>
        </w:rPr>
        <w:t>9</w:t>
      </w:r>
      <w:r w:rsidRPr="00B503B2">
        <w:rPr>
          <w:rFonts w:ascii="宋体" w:hAnsi="宋体" w:hint="eastAsia"/>
          <w:sz w:val="24"/>
          <w:szCs w:val="24"/>
        </w:rPr>
        <w:t>月</w:t>
      </w:r>
      <w:r w:rsidR="00437529" w:rsidRPr="00B503B2">
        <w:rPr>
          <w:rFonts w:ascii="宋体" w:hAnsi="宋体" w:hint="eastAsia"/>
          <w:sz w:val="24"/>
          <w:szCs w:val="24"/>
        </w:rPr>
        <w:t>8</w:t>
      </w:r>
      <w:r w:rsidRPr="00B503B2">
        <w:rPr>
          <w:rFonts w:ascii="宋体" w:hAnsi="宋体" w:hint="eastAsia"/>
          <w:sz w:val="24"/>
          <w:szCs w:val="24"/>
        </w:rPr>
        <w:t>日</w:t>
      </w:r>
      <w:r w:rsidRPr="00B503B2">
        <w:rPr>
          <w:rFonts w:ascii="宋体" w:hAnsi="宋体" w:hint="eastAsia"/>
          <w:sz w:val="24"/>
          <w:szCs w:val="24"/>
        </w:rPr>
        <w:t>(</w:t>
      </w:r>
      <w:r w:rsidRPr="00B503B2">
        <w:rPr>
          <w:rFonts w:ascii="宋体" w:hAnsi="宋体" w:hint="eastAsia"/>
          <w:sz w:val="24"/>
          <w:szCs w:val="24"/>
        </w:rPr>
        <w:t>星期</w:t>
      </w:r>
      <w:r w:rsidR="00437529" w:rsidRPr="00B503B2">
        <w:rPr>
          <w:rFonts w:ascii="宋体" w:hAnsi="宋体" w:hint="eastAsia"/>
          <w:sz w:val="24"/>
          <w:szCs w:val="24"/>
        </w:rPr>
        <w:t>四</w:t>
      </w:r>
      <w:r w:rsidRPr="00B503B2">
        <w:rPr>
          <w:rFonts w:ascii="宋体" w:hAnsi="宋体" w:hint="eastAsia"/>
          <w:sz w:val="24"/>
          <w:szCs w:val="24"/>
        </w:rPr>
        <w:t>)</w:t>
      </w:r>
      <w:r w:rsidR="00437529" w:rsidRPr="00B503B2">
        <w:rPr>
          <w:rFonts w:ascii="宋体" w:hAnsi="宋体" w:hint="eastAsia"/>
          <w:sz w:val="24"/>
          <w:szCs w:val="24"/>
        </w:rPr>
        <w:t>上</w:t>
      </w:r>
      <w:r w:rsidRPr="00B503B2">
        <w:rPr>
          <w:rFonts w:ascii="宋体" w:hAnsi="宋体" w:hint="eastAsia"/>
          <w:sz w:val="24"/>
          <w:szCs w:val="24"/>
        </w:rPr>
        <w:t>午</w:t>
      </w:r>
      <w:r w:rsidR="00437529" w:rsidRPr="00B503B2">
        <w:rPr>
          <w:rFonts w:ascii="宋体" w:hAnsi="宋体" w:hint="eastAsia"/>
          <w:sz w:val="24"/>
          <w:szCs w:val="24"/>
        </w:rPr>
        <w:t>9:0</w:t>
      </w:r>
      <w:r w:rsidRPr="00B503B2">
        <w:rPr>
          <w:rFonts w:ascii="宋体" w:hAnsi="宋体" w:hint="eastAsia"/>
          <w:sz w:val="24"/>
          <w:szCs w:val="24"/>
        </w:rPr>
        <w:t>0</w:t>
      </w:r>
    </w:p>
    <w:p w:rsidR="00B71917" w:rsidRDefault="008C2D85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B503B2">
        <w:rPr>
          <w:rFonts w:ascii="宋体" w:hAnsi="宋体" w:hint="eastAsia"/>
          <w:sz w:val="24"/>
          <w:szCs w:val="24"/>
        </w:rPr>
        <w:lastRenderedPageBreak/>
        <w:t>（请各供应商委派技术人员参会）</w:t>
      </w:r>
    </w:p>
    <w:p w:rsidR="00B71917" w:rsidRDefault="008C2D85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点：</w:t>
      </w:r>
      <w:r>
        <w:rPr>
          <w:rFonts w:ascii="宋体" w:hAnsi="宋体" w:hint="eastAsia"/>
          <w:sz w:val="24"/>
          <w:szCs w:val="24"/>
        </w:rPr>
        <w:t>江苏省口腔医院新综合楼十三楼</w:t>
      </w:r>
      <w:r>
        <w:rPr>
          <w:rFonts w:ascii="宋体" w:hAnsi="宋体" w:hint="eastAsia"/>
          <w:sz w:val="24"/>
          <w:szCs w:val="24"/>
        </w:rPr>
        <w:t>1301</w:t>
      </w:r>
      <w:r>
        <w:rPr>
          <w:rFonts w:ascii="宋体" w:hAnsi="宋体" w:hint="eastAsia"/>
          <w:sz w:val="24"/>
          <w:szCs w:val="24"/>
        </w:rPr>
        <w:t>会议室</w:t>
      </w:r>
    </w:p>
    <w:p w:rsidR="00B71917" w:rsidRDefault="008C2D85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信息中心：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陈主任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69593126</w:t>
      </w:r>
    </w:p>
    <w:p w:rsidR="00B71917" w:rsidRDefault="008C2D85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李老师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69593106</w:t>
      </w:r>
    </w:p>
    <w:p w:rsidR="00B71917" w:rsidRDefault="008C2D8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B71917" w:rsidRDefault="008C2D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B71917" w:rsidRDefault="00B71917">
      <w:pPr>
        <w:spacing w:line="360" w:lineRule="auto"/>
        <w:ind w:left="360"/>
        <w:rPr>
          <w:rFonts w:ascii="仿宋" w:eastAsia="仿宋" w:hAnsi="仿宋" w:cs="仿宋"/>
          <w:color w:val="000000"/>
          <w:sz w:val="24"/>
          <w:szCs w:val="24"/>
        </w:rPr>
      </w:pPr>
    </w:p>
    <w:p w:rsidR="00B71917" w:rsidRDefault="00B71917">
      <w:pPr>
        <w:spacing w:line="360" w:lineRule="auto"/>
        <w:ind w:left="360"/>
        <w:rPr>
          <w:rFonts w:ascii="仿宋" w:eastAsia="仿宋" w:hAnsi="仿宋" w:cs="仿宋"/>
          <w:color w:val="000000"/>
          <w:sz w:val="24"/>
          <w:szCs w:val="24"/>
        </w:rPr>
      </w:pPr>
    </w:p>
    <w:p w:rsidR="00B71917" w:rsidRDefault="008C2D85">
      <w:pPr>
        <w:spacing w:line="360" w:lineRule="auto"/>
        <w:ind w:left="360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附件：身份准入系统具体技术参数要求</w:t>
      </w:r>
    </w:p>
    <w:p w:rsidR="00B71917" w:rsidRDefault="00B71917">
      <w:pPr>
        <w:spacing w:line="360" w:lineRule="auto"/>
        <w:ind w:left="360"/>
        <w:rPr>
          <w:rFonts w:ascii="仿宋" w:eastAsia="仿宋" w:hAnsi="仿宋" w:cs="仿宋"/>
          <w:b/>
          <w:bCs/>
          <w:sz w:val="24"/>
          <w:szCs w:val="24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524"/>
      </w:tblGrid>
      <w:tr w:rsidR="00B71917">
        <w:trPr>
          <w:trHeight w:val="271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widowControl/>
              <w:spacing w:line="360" w:lineRule="auto"/>
              <w:jc w:val="center"/>
              <w:rPr>
                <w:rFonts w:ascii="宋体" w:eastAsia="等线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指标项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widowControl/>
              <w:spacing w:line="360" w:lineRule="auto"/>
              <w:jc w:val="center"/>
              <w:rPr>
                <w:rFonts w:ascii="宋体" w:eastAsia="等线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技术规格要求</w:t>
            </w:r>
          </w:p>
        </w:tc>
      </w:tr>
      <w:tr w:rsidR="00B71917">
        <w:trPr>
          <w:trHeight w:val="90"/>
          <w:jc w:val="center"/>
        </w:trPr>
        <w:tc>
          <w:tcPr>
            <w:tcW w:w="987" w:type="dxa"/>
            <w:shd w:val="clear" w:color="auto" w:fill="auto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性能参数</w:t>
            </w:r>
          </w:p>
        </w:tc>
        <w:tc>
          <w:tcPr>
            <w:tcW w:w="7524" w:type="dxa"/>
            <w:shd w:val="clear" w:color="auto" w:fill="auto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★提供不少于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台身份准入设备，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网络层吞吐量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10Gb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，应用层吞吐量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1.5Gb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，准入终端数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3000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，包转发率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132Kpps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，内存大小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8G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，硬盘容量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64G SSD+960G SSD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千兆电口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个，</w:t>
            </w:r>
            <w:proofErr w:type="gramStart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万兆光口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SFP+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个，提供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URL&amp;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应用识别规则库升级，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年产品质保，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年软件升级</w:t>
            </w:r>
          </w:p>
        </w:tc>
      </w:tr>
      <w:tr w:rsidR="00B71917">
        <w:trPr>
          <w:trHeight w:val="562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部署方式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支持网关模式，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网桥模式，旁路模式、主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备模式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部署，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必须支持两台及两台以上设备同时做主机的部署模式；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 xml:space="preserve"> </w:t>
            </w:r>
          </w:p>
        </w:tc>
      </w:tr>
      <w:tr w:rsidR="00B71917">
        <w:trPr>
          <w:trHeight w:val="78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支持部署在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IPv6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环境中，设备接口及部署模式均支持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ipv6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配置，所有核心功能（上网认证、应用控制、流量控制、内容审计、日志报表等）都支持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IPv6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；（提供产品界面截图）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DNS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代理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DNS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代理，能够基于用户、域名、目标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DNS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，指定代理策略生效，代理策略可以设置为：重定向至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DNS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服务器、解析为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、丢弃、重定向至指定线路；</w:t>
            </w:r>
          </w:p>
        </w:tc>
      </w:tr>
      <w:tr w:rsidR="00B71917">
        <w:trPr>
          <w:trHeight w:val="712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管理员账号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SSL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加密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方式、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SSH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命令行方式管理设备，可设置四类管理员，分别为系统管理员、安全管理员、审计管理员，以及多种权限的超级管理员；</w:t>
            </w:r>
          </w:p>
        </w:tc>
      </w:tr>
      <w:tr w:rsidR="00B71917">
        <w:trPr>
          <w:trHeight w:val="70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支持管理员账号登录允许尝试次数可配，并支持管理员用户登录进行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双因素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认证，密码认证加邮件验证码；管理员账号支持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TACACS+/RADIUS/LDAP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协议外部认证；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支持审计管理员的操作日志、系统日志等；</w:t>
            </w:r>
          </w:p>
        </w:tc>
      </w:tr>
      <w:tr w:rsidR="00B71917">
        <w:trPr>
          <w:trHeight w:val="926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实时监控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首页分析显示接入用户人数、终端类型；资产类型分布、新设备发现趋势、终端违规检查项排行、终端违规用户排行；带宽质量分析、实时流量排名；泄密风险、工作效率、共享上网等行为风险情况；（提供产品界面截图）；</w:t>
            </w:r>
          </w:p>
        </w:tc>
      </w:tr>
      <w:tr w:rsidR="00B71917">
        <w:trPr>
          <w:trHeight w:val="596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支持查看当前设备的线路状态，线路带宽利用率以及当前策略的引流流量分布和实时的引流策略，支持设置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线路流控策略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45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排障工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lastRenderedPageBreak/>
              <w:t>具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lastRenderedPageBreak/>
              <w:t>提供图形化排障工具，便于管理员排查策略错误等故障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支持针对用户认证的故障进行分析，给出错误详情以及排查建议；</w:t>
            </w:r>
          </w:p>
        </w:tc>
      </w:tr>
      <w:tr w:rsidR="00B71917">
        <w:trPr>
          <w:trHeight w:val="37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针对内网用户的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访问质量进行检测，对整体网络提供清晰的整体网络质量评级；</w:t>
            </w:r>
          </w:p>
        </w:tc>
      </w:tr>
      <w:tr w:rsidR="00B71917">
        <w:trPr>
          <w:trHeight w:val="46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用户管理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支持从本地导入和扫描导入，支持以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CSV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格式文件导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入帐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分组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/IP/MAC/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描述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密码等信息；</w:t>
            </w:r>
          </w:p>
        </w:tc>
      </w:tr>
      <w:tr w:rsidR="00B71917">
        <w:trPr>
          <w:trHeight w:val="796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支持为用户添加自定义属性（职位、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临时项目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组、邮件组等），能够根据用户属性自动归类并可以针对用户属性配置上网权限策略、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流控策略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，审计策略等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37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同一个账号，支持与指定数量的多个终端进行自动绑定；</w:t>
            </w:r>
          </w:p>
        </w:tc>
      </w:tr>
      <w:tr w:rsidR="00B71917">
        <w:trPr>
          <w:trHeight w:val="468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支持针对特权用户配置免认证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key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、免审计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key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免控制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key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；</w:t>
            </w:r>
          </w:p>
        </w:tc>
      </w:tr>
      <w:tr w:rsidR="00B71917">
        <w:trPr>
          <w:trHeight w:val="9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认证方式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radius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AD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POP3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Proxy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PPPOE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 xml:space="preserve"> H3C IMC/CAMS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、锐捷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 xml:space="preserve"> SAM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、城市热点等系统进行认证单点登录，简化用户操作，可强制指定用户、指定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段的用户必须使用单点登录；</w:t>
            </w:r>
          </w:p>
        </w:tc>
      </w:tr>
      <w:tr w:rsidR="00B71917">
        <w:trPr>
          <w:trHeight w:val="918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支持终端用户账号绑定手机号码和微信号，绑定后可以通过手机验证码和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微信扫码实现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上网快捷登录认证；</w:t>
            </w:r>
          </w:p>
        </w:tc>
      </w:tr>
      <w:tr w:rsidR="00B71917">
        <w:trPr>
          <w:trHeight w:val="672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支持通过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OAuth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认证协议对接，支持阿里钉钉，口袋助理，企业微信第三方账号授权认证；（提供产品界面截图）</w:t>
            </w:r>
          </w:p>
        </w:tc>
      </w:tr>
      <w:tr w:rsidR="00B71917">
        <w:trPr>
          <w:trHeight w:val="50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802.1x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认证，支持对接本地和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AD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域用户源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，支持在旁路模式部署下准入生效；</w:t>
            </w:r>
          </w:p>
        </w:tc>
      </w:tr>
      <w:tr w:rsidR="00B71917">
        <w:trPr>
          <w:trHeight w:val="50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支持绑定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MAC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免认证入网，打开客户端自动认证上线，支持强制初次上线修改密码，保障批量创建账号后的使用安全性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0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支持未认证前推送认证客户端下载页面，减轻客户端分发工作量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0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支持强制初次上线修改密码，保障批量创建账号后的使用安全性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0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支持根据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MAC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识别新增终端，用户新终端认证自动触发审批流程，需要管理员审批后才可认证入网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终端资产管理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支持图形化查看当前内网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使用情况，帮助管理员减少人工维护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表的工作量；</w:t>
            </w:r>
          </w:p>
        </w:tc>
      </w:tr>
      <w:tr w:rsidR="00B71917">
        <w:trPr>
          <w:trHeight w:val="63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设备必须支持能自动发现网络中通过无线上网的热点和移动终端的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和终端类型，支持移动终端型号识别；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 xml:space="preserve"> 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支持以图表方式显示移动终端接入趋势；</w:t>
            </w:r>
          </w:p>
        </w:tc>
      </w:tr>
      <w:tr w:rsidR="00B71917">
        <w:trPr>
          <w:trHeight w:val="452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终端安全检查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款以上主流杀毒软件的运行情况、软件版本、病毒库更新时间检查，对不满足检查要求的终端可重定向页面修复、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弹窗提示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、限制权限、禁止上网；</w:t>
            </w:r>
          </w:p>
        </w:tc>
      </w:tr>
      <w:tr w:rsidR="00B71917">
        <w:trPr>
          <w:trHeight w:val="23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支持检查终端是否登录域、是否登录到指定域，对不满足检查要求的终端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可弹窗提示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、限制权限、禁止上网；</w:t>
            </w:r>
          </w:p>
        </w:tc>
      </w:tr>
      <w:tr w:rsidR="00B71917">
        <w:trPr>
          <w:trHeight w:val="23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Windows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系统是否属于指定版本范围，对不满足检查要求的终端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可弹窗提示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、禁止上网；</w:t>
            </w:r>
          </w:p>
        </w:tc>
      </w:tr>
      <w:tr w:rsidR="00B71917">
        <w:trPr>
          <w:trHeight w:val="23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支持检查终端是否运行指定进程，对不满足检查要求的终端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可弹窗提示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、禁止上网，可强制中止违规进程；</w:t>
            </w:r>
          </w:p>
        </w:tc>
      </w:tr>
      <w:tr w:rsidR="00B71917">
        <w:trPr>
          <w:trHeight w:val="23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支持检查终端指定路径是否存在指定文件，对不满足检查要求的终端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lastRenderedPageBreak/>
              <w:t>可弹窗提示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、禁止上网，可强制删除违规文件；</w:t>
            </w:r>
          </w:p>
        </w:tc>
      </w:tr>
      <w:tr w:rsidR="00B71917">
        <w:trPr>
          <w:trHeight w:val="23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支持检查终端注册表是否存在指定项，对不满足检查要求的终端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可弹窗提示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、禁止上网，可强制删除指定项；</w:t>
            </w:r>
          </w:p>
        </w:tc>
      </w:tr>
      <w:tr w:rsidR="00B71917">
        <w:trPr>
          <w:trHeight w:val="916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外联检查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支持检查终端是否使用无线网卡，对不满足检查要求的终端强制断网，支持向管理员告警，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并弹窗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提示用户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支持检查终端是否连接非法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WIFI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（可设置合法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WIFI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白名单），对不满足检查要求的终端强制断网，支持向管理员告警，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并弹窗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提示用户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40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支持检查终端是否使用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4G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网卡，对不满足检查要求的终端强制断网，支持向管理员告警，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并弹窗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提示用户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40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支持检查终端是否使用非法网关（可设置合法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网关白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名单），对不满足检查要求的终端强制断网，支持向管理员告警，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并弹窗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提示用户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40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支持自定义测试地址，检查终端是否能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PING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通，对不满足检查要求的终端强制断网，支持向管理员告警，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并弹窗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提示用户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40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告警事件中增加违规外联告警选项，用于对违规外联行为使用进行预警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（提供产品界面截图）</w:t>
            </w:r>
          </w:p>
        </w:tc>
      </w:tr>
      <w:tr w:rsidR="00B71917">
        <w:trPr>
          <w:trHeight w:val="404"/>
          <w:jc w:val="center"/>
        </w:trPr>
        <w:tc>
          <w:tcPr>
            <w:tcW w:w="987" w:type="dxa"/>
            <w:vMerge w:val="restart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运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维工具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外联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审计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SSH/RDP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协议，可对连接开始时间，连接结束时间，传输的流量大小进行审计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;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（提供产品界面截图）</w:t>
            </w:r>
          </w:p>
        </w:tc>
      </w:tr>
      <w:tr w:rsidR="00B71917">
        <w:trPr>
          <w:trHeight w:val="404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支持运维类应用的外发附件审计，包括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Xshell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，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Pshell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，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MobaXterm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，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SecureCRT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TW"/>
              </w:rPr>
              <w:t>；</w:t>
            </w:r>
          </w:p>
        </w:tc>
      </w:tr>
      <w:tr w:rsidR="00B71917">
        <w:trPr>
          <w:trHeight w:val="61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外设管控与移动存储审计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支持便携设备、存储设备、网络设备、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蓝牙设备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、摄像头、打印机的使用管控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支持对终端上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U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盘和移动硬盘接入设置可读写、拒绝、可读、告警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9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支持允许特定的外设（包括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U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存储设备）在终端上使用，并提供批量获取硬件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ID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的工具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;</w:t>
            </w:r>
          </w:p>
        </w:tc>
      </w:tr>
      <w:tr w:rsidR="00B71917">
        <w:trPr>
          <w:trHeight w:val="78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代理管理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不允许使用外部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代理，不允许使用外部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Sock4/5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代理，不允许在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HTTP,SSL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一些的标准端口上使用其他协议（提供产品界面截图）</w:t>
            </w:r>
          </w:p>
        </w:tc>
      </w:tr>
      <w:tr w:rsidR="00B71917">
        <w:trPr>
          <w:trHeight w:val="526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多线路支持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必须支持将多条外网线路虚拟映射到设备上，实现对多线路的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分别流控</w:t>
            </w:r>
            <w:proofErr w:type="gramEnd"/>
          </w:p>
        </w:tc>
      </w:tr>
      <w:tr w:rsidR="00B71917">
        <w:trPr>
          <w:trHeight w:val="604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流控策略</w:t>
            </w:r>
            <w:proofErr w:type="gramEnd"/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支持基于用户组、位置、终端类型、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URL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类型配置流量管控策略，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灵活配置流控单位是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还是用户名（提供产品界面截图）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网盘审计</w:t>
            </w:r>
            <w:proofErr w:type="gramEnd"/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支持网盘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笔记类应用访问内容和外发文件审计；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离线上网审计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在非内网环境下通过客户端引流实现网页审计、邮件审计、应用审计、流量和时长审计，支持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windows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终端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（提供产品界面截图）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离线终端审计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在非内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网环境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下实现客户端应用审计、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盘审计、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IM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审计，外发行为日志留存在终端本地，终端接入内网后同步到设备日志中心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;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离线终端管控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在非内网环境下，已配置的外设管控、外联管控、访问控制策略保持生效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;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（提供产品界面截图）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日志管理</w:t>
            </w:r>
          </w:p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设备必须支持内置数据中心和独立数据中心；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支持分级配置管理员日志查看权限，管理员登录数据中心只能查看指定用户组的行为日志；</w:t>
            </w:r>
          </w:p>
        </w:tc>
      </w:tr>
      <w:tr w:rsidR="00B71917">
        <w:trPr>
          <w:trHeight w:val="28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必须支持以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USB-Key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方式验证接入数据中心的管理员身份；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vMerge/>
            <w:vAlign w:val="center"/>
          </w:tcPr>
          <w:p w:rsidR="00B71917" w:rsidRDefault="00B71917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日志中心所有导出都有对应管理员操作日志、系统日志的日志清理中记录数据删除日志、规则库升级有对应升级日志；</w:t>
            </w:r>
          </w:p>
        </w:tc>
      </w:tr>
      <w:tr w:rsidR="00B71917">
        <w:trPr>
          <w:trHeight w:val="520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等保合规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自检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可以对接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等保合规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自检平台，设备自检后将结果发送给平台，快速输出等级保护合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自检报告；</w:t>
            </w:r>
          </w:p>
        </w:tc>
      </w:tr>
      <w:tr w:rsidR="00B71917">
        <w:trPr>
          <w:trHeight w:val="90"/>
          <w:jc w:val="center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产品资质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公安部颁发的：《终端接入控制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（一级）安全专用产品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销售许可证》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 xml:space="preserve"> </w:t>
            </w:r>
          </w:p>
        </w:tc>
      </w:tr>
      <w:tr w:rsidR="00B71917">
        <w:trPr>
          <w:trHeight w:val="618"/>
          <w:jc w:val="center"/>
        </w:trPr>
        <w:tc>
          <w:tcPr>
            <w:tcW w:w="987" w:type="dxa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产商资质</w:t>
            </w:r>
          </w:p>
        </w:tc>
        <w:tc>
          <w:tcPr>
            <w:tcW w:w="7524" w:type="dxa"/>
            <w:vAlign w:val="center"/>
          </w:tcPr>
          <w:p w:rsidR="00B71917" w:rsidRDefault="008C2D85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售后服务体系通过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ISO9001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认证</w:t>
            </w:r>
          </w:p>
        </w:tc>
      </w:tr>
    </w:tbl>
    <w:p w:rsidR="00B71917" w:rsidRDefault="00B71917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sectPr w:rsidR="00B71917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85" w:rsidRDefault="008C2D85">
      <w:r>
        <w:separator/>
      </w:r>
    </w:p>
  </w:endnote>
  <w:endnote w:type="continuationSeparator" w:id="0">
    <w:p w:rsidR="008C2D85" w:rsidRDefault="008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17" w:rsidRDefault="008C2D85">
    <w:pPr>
      <w:pStyle w:val="a5"/>
      <w:framePr w:wrap="around" w:vAnchor="text" w:hAnchor="margin" w:xAlign="center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B503B2">
      <w:rPr>
        <w:rStyle w:val="a7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B71917" w:rsidRDefault="00B71917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17" w:rsidRDefault="008C2D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B71917" w:rsidRDefault="00B71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85" w:rsidRDefault="008C2D85">
      <w:r>
        <w:separator/>
      </w:r>
    </w:p>
  </w:footnote>
  <w:footnote w:type="continuationSeparator" w:id="0">
    <w:p w:rsidR="008C2D85" w:rsidRDefault="008C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17" w:rsidRDefault="00B71917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5D42"/>
    <w:rsid w:val="00017FE0"/>
    <w:rsid w:val="00047CE4"/>
    <w:rsid w:val="00055D7B"/>
    <w:rsid w:val="000B16E7"/>
    <w:rsid w:val="000D53CD"/>
    <w:rsid w:val="00100FE6"/>
    <w:rsid w:val="001226DB"/>
    <w:rsid w:val="001326B1"/>
    <w:rsid w:val="001413A4"/>
    <w:rsid w:val="00144B46"/>
    <w:rsid w:val="0016555C"/>
    <w:rsid w:val="001B19F6"/>
    <w:rsid w:val="002068F4"/>
    <w:rsid w:val="00211E9C"/>
    <w:rsid w:val="002176C6"/>
    <w:rsid w:val="00237AD7"/>
    <w:rsid w:val="00266A73"/>
    <w:rsid w:val="00273C0B"/>
    <w:rsid w:val="002912CE"/>
    <w:rsid w:val="002C739E"/>
    <w:rsid w:val="002F4618"/>
    <w:rsid w:val="00346A36"/>
    <w:rsid w:val="00353477"/>
    <w:rsid w:val="0035477D"/>
    <w:rsid w:val="00387BCF"/>
    <w:rsid w:val="00396680"/>
    <w:rsid w:val="003D09BB"/>
    <w:rsid w:val="00405438"/>
    <w:rsid w:val="004238C7"/>
    <w:rsid w:val="004369F5"/>
    <w:rsid w:val="00437529"/>
    <w:rsid w:val="00450AC5"/>
    <w:rsid w:val="00457C2A"/>
    <w:rsid w:val="00484275"/>
    <w:rsid w:val="004B1554"/>
    <w:rsid w:val="004E78C2"/>
    <w:rsid w:val="00505BF2"/>
    <w:rsid w:val="00520936"/>
    <w:rsid w:val="005723B8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2B33"/>
    <w:rsid w:val="006978E1"/>
    <w:rsid w:val="006A5316"/>
    <w:rsid w:val="00700847"/>
    <w:rsid w:val="00736926"/>
    <w:rsid w:val="00742F84"/>
    <w:rsid w:val="007958B3"/>
    <w:rsid w:val="007E6F4A"/>
    <w:rsid w:val="007F18DA"/>
    <w:rsid w:val="0084503E"/>
    <w:rsid w:val="008522FE"/>
    <w:rsid w:val="008756DE"/>
    <w:rsid w:val="008C0586"/>
    <w:rsid w:val="008C2D85"/>
    <w:rsid w:val="008D23D6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962A6"/>
    <w:rsid w:val="00AA15A8"/>
    <w:rsid w:val="00AB7656"/>
    <w:rsid w:val="00AC69DA"/>
    <w:rsid w:val="00B2013E"/>
    <w:rsid w:val="00B503B2"/>
    <w:rsid w:val="00B71917"/>
    <w:rsid w:val="00BE4448"/>
    <w:rsid w:val="00C502E6"/>
    <w:rsid w:val="00C5410C"/>
    <w:rsid w:val="00C54CAE"/>
    <w:rsid w:val="00C64E35"/>
    <w:rsid w:val="00C720F0"/>
    <w:rsid w:val="00C85BF8"/>
    <w:rsid w:val="00CB4C4F"/>
    <w:rsid w:val="00D82B1A"/>
    <w:rsid w:val="00D83910"/>
    <w:rsid w:val="00DA7D23"/>
    <w:rsid w:val="00DE2CF4"/>
    <w:rsid w:val="00E16E73"/>
    <w:rsid w:val="00E3191C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64315"/>
    <w:rsid w:val="00F645F9"/>
    <w:rsid w:val="00FF5B7C"/>
    <w:rsid w:val="50DD256C"/>
    <w:rsid w:val="5914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1"/>
    <w:qFormat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paragraph" w:styleId="1">
    <w:name w:val="toc 1"/>
    <w:basedOn w:val="a"/>
    <w:next w:val="a"/>
    <w:semiHidden/>
    <w:qFormat/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uiPriority w:val="1"/>
    <w:qFormat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paragraph" w:styleId="1">
    <w:name w:val="toc 1"/>
    <w:basedOn w:val="a"/>
    <w:next w:val="a"/>
    <w:semiHidden/>
    <w:qFormat/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3687</Characters>
  <Application>Microsoft Office Word</Application>
  <DocSecurity>0</DocSecurity>
  <Lines>30</Lines>
  <Paragraphs>8</Paragraphs>
  <ScaleCrop>false</ScaleCrop>
  <Company>P R C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117</cp:revision>
  <dcterms:created xsi:type="dcterms:W3CDTF">2019-04-28T09:32:00Z</dcterms:created>
  <dcterms:modified xsi:type="dcterms:W3CDTF">2022-08-26T02:39:00Z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A43AB3AF63A94CC2872B631FB9C88D6C</vt:lpwstr>
  </property>
</Properties>
</file>