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BE6A" w14:textId="43A80F75" w:rsidR="00E150F4" w:rsidRDefault="00F0205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8D31BA" w:rsidRPr="008D31BA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激光多普勒及经皮氧分压测量仪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设备项目</w:t>
      </w:r>
    </w:p>
    <w:p w14:paraId="51575736" w14:textId="77777777" w:rsidR="00E150F4" w:rsidRDefault="00F0205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14:paraId="55DCD6D9" w14:textId="77777777" w:rsidR="00E150F4" w:rsidRDefault="00F02052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0D4EF85C" w14:textId="77777777" w:rsidR="00E150F4" w:rsidRDefault="00F0205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354F086A" w14:textId="13A7DD16" w:rsidR="00E150F4" w:rsidRDefault="00F0205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8D31BA" w:rsidRPr="008D31BA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激光多普勒及经皮氧分压测量仪</w:t>
      </w:r>
    </w:p>
    <w:p w14:paraId="3EB213B1" w14:textId="27F29534" w:rsidR="0019720D" w:rsidRDefault="0019720D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数量：1台</w:t>
      </w:r>
    </w:p>
    <w:p w14:paraId="319BFC7D" w14:textId="77777777" w:rsidR="00E150F4" w:rsidRDefault="00E150F4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14:paraId="7F39F5F7" w14:textId="77777777" w:rsidR="00E150F4" w:rsidRDefault="00F02052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14:paraId="6A93664D" w14:textId="77777777" w:rsidR="00E150F4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响应供应商</w:t>
      </w:r>
      <w:r>
        <w:rPr>
          <w:rFonts w:ascii="宋体" w:hAnsi="宋体" w:cs="Arial"/>
          <w:sz w:val="24"/>
          <w:szCs w:val="24"/>
        </w:rPr>
        <w:t>应具有独立法人资格，</w:t>
      </w:r>
      <w:r>
        <w:rPr>
          <w:rFonts w:ascii="宋体" w:hAnsi="宋体" w:cs="Arial" w:hint="eastAsia"/>
          <w:sz w:val="24"/>
          <w:szCs w:val="24"/>
        </w:rPr>
        <w:t>营业执照。</w:t>
      </w:r>
    </w:p>
    <w:p w14:paraId="4AF5094E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6E67D6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6E67D6">
        <w:rPr>
          <w:rFonts w:ascii="宋体" w:hAnsi="宋体" w:cs="Arial" w:hint="eastAsia"/>
          <w:sz w:val="24"/>
          <w:szCs w:val="24"/>
        </w:rPr>
        <w:t>器械经营许可证</w:t>
      </w:r>
    </w:p>
    <w:p w14:paraId="223A29DC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生产厂家医疗器械生产许可证</w:t>
      </w:r>
    </w:p>
    <w:p w14:paraId="46DD8D73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产品医疗器械注册证</w:t>
      </w:r>
    </w:p>
    <w:p w14:paraId="79A08245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产品授权书</w:t>
      </w:r>
    </w:p>
    <w:p w14:paraId="7078A009" w14:textId="77777777" w:rsidR="00E150F4" w:rsidRDefault="00F02052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14:paraId="24A15130" w14:textId="77777777" w:rsidR="00E150F4" w:rsidRDefault="00E150F4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2B861189" w14:textId="77777777" w:rsidR="00E150F4" w:rsidRDefault="00F02052">
      <w:pPr>
        <w:spacing w:line="360" w:lineRule="auto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三、基本技术要求（见附件1）</w:t>
      </w:r>
    </w:p>
    <w:p w14:paraId="27582BA2" w14:textId="77777777" w:rsidR="00E150F4" w:rsidRDefault="00E150F4">
      <w:pPr>
        <w:spacing w:line="360" w:lineRule="auto"/>
        <w:rPr>
          <w:rFonts w:ascii="宋体" w:hAnsi="宋体" w:cs="Arial"/>
          <w:sz w:val="24"/>
          <w:szCs w:val="24"/>
        </w:rPr>
      </w:pPr>
    </w:p>
    <w:p w14:paraId="371A179C" w14:textId="77777777" w:rsidR="00E150F4" w:rsidRDefault="00F02052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四、请仔细阅读本项目技术参数要求，并提供以下书面材料一式四份。</w:t>
      </w:r>
    </w:p>
    <w:p w14:paraId="5D350E85" w14:textId="77777777" w:rsidR="00E150F4" w:rsidRDefault="00F0205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38435C96" w14:textId="77777777" w:rsidR="00E150F4" w:rsidRDefault="00F02052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或</w:t>
      </w:r>
    </w:p>
    <w:p w14:paraId="339F4909" w14:textId="77777777" w:rsidR="00E150F4" w:rsidRDefault="00F02052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kern w:val="0"/>
          <w:sz w:val="24"/>
          <w:szCs w:val="24"/>
        </w:rPr>
        <w:t>/</w:t>
      </w:r>
      <w:r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E150F4" w14:paraId="786ED73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B21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51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C00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682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A89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150F4" w14:paraId="3E290B3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646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062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D50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39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36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7F6BEF2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D8C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107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E80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C66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F53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EE24BE0" w14:textId="77777777" w:rsidR="00E150F4" w:rsidRDefault="00F02052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E150F4" w14:paraId="28F8428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88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699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CDE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E2C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ED4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150F4" w14:paraId="42360C4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F42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38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78B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20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96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273DD00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4E2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FA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C1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41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CC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7274949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E150F4" w14:paraId="674C246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230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50F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B1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7FD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9D8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E150F4" w14:paraId="6B38B99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5E0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A32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BDD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D49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FC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7F08868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04E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2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5B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1BC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5DC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3F8B9CCB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150F4" w14:paraId="7549DFAE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77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847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6AB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7B2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150F4" w14:paraId="609767BB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9EA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4F0636E4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0AD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330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C26" w14:textId="77777777" w:rsidR="00E150F4" w:rsidRDefault="00E150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50F4" w14:paraId="6E4DEB89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AFC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809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80E0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5D6" w14:textId="77777777" w:rsidR="00E150F4" w:rsidRDefault="00E150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B94CD8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该项目设备标准配置表</w:t>
      </w:r>
      <w:r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E150F4" w14:paraId="38428312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99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B9F" w14:textId="77777777" w:rsidR="00E150F4" w:rsidRDefault="00F02052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D39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73C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E150F4" w14:paraId="2D4C66BE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7EB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59700D1A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98C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BA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B65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E150F4" w14:paraId="036FA22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1F8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F476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37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B4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6C454810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该项目配置选配表（可提供彩页、样品至现场）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E150F4" w14:paraId="3E75FB64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8C9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5E4" w14:textId="77777777" w:rsidR="00E150F4" w:rsidRDefault="00F02052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BBF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6A5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C01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E150F4" w14:paraId="6CC0919C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45C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257C9491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C1D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B1B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2C6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43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E150F4" w14:paraId="587F50F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4D6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3E3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127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DA1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527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745ADA70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14:paraId="46DFE858" w14:textId="77777777" w:rsidR="00E150F4" w:rsidRDefault="00E150F4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E150F4" w14:paraId="065373C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32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E6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D8E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6BB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653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E150F4" w14:paraId="20896AF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20E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2B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6D5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73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428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0FFB34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02F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235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7C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8E4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144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901DAEC" w14:textId="77777777" w:rsidR="00E150F4" w:rsidRDefault="00E150F4">
      <w:pPr>
        <w:widowControl/>
        <w:spacing w:line="500" w:lineRule="exact"/>
        <w:rPr>
          <w:rFonts w:ascii="宋体" w:hAnsi="宋体"/>
          <w:sz w:val="24"/>
          <w:szCs w:val="24"/>
        </w:rPr>
        <w:sectPr w:rsidR="00E150F4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DBC572E" w14:textId="77777777" w:rsidR="00E150F4" w:rsidRDefault="00F02052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8、配套医用耗材报价表</w:t>
      </w:r>
    </w:p>
    <w:p w14:paraId="21FD9AA9" w14:textId="77777777" w:rsidR="00E150F4" w:rsidRDefault="00F02052">
      <w:pPr>
        <w:pStyle w:val="aa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是否含配套医用耗材：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p w14:paraId="5A972910" w14:textId="77777777" w:rsidR="00E150F4" w:rsidRDefault="00F0205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是否专机专用：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4A0" w:firstRow="1" w:lastRow="0" w:firstColumn="1" w:lastColumn="0" w:noHBand="0" w:noVBand="1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E150F4" w14:paraId="319F6472" w14:textId="77777777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3452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544D0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D02AA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品</w:t>
            </w:r>
            <w:r>
              <w:rPr>
                <w:rStyle w:val="font41"/>
                <w:color w:val="auto"/>
                <w:lang w:bidi="ar"/>
              </w:rPr>
              <w:t xml:space="preserve"> </w:t>
            </w:r>
            <w:r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7AE9B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D4CD5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7988D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3BAFA" w14:textId="77777777" w:rsidR="00E150F4" w:rsidRDefault="00F02052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22DEAC" w14:textId="77777777" w:rsidR="00E150F4" w:rsidRDefault="00F02052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289D1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EA8DE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38176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E150F4" w14:paraId="650260CE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C61B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C3B5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FB3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9793" w14:textId="77777777" w:rsidR="00E150F4" w:rsidRDefault="00E15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309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1C5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5FF4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AF5B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5D45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79FD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3AAD3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</w:tr>
      <w:tr w:rsidR="00E150F4" w14:paraId="45C2BA9B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F4DD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5CAA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6DE8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A7DD" w14:textId="77777777" w:rsidR="00E150F4" w:rsidRDefault="00E15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0C2D9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58BCB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5F7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0B9F8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E13AF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3B39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3EDD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3DD71C2D" w14:textId="77777777" w:rsidR="00E150F4" w:rsidRDefault="00E150F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14:paraId="74DCC710" w14:textId="77777777" w:rsidR="00E150F4" w:rsidRDefault="00E150F4">
      <w:pPr>
        <w:widowControl/>
        <w:jc w:val="left"/>
        <w:rPr>
          <w:rFonts w:ascii="宋体" w:hAnsi="宋体"/>
          <w:sz w:val="24"/>
          <w:szCs w:val="24"/>
        </w:rPr>
        <w:sectPr w:rsidR="00E150F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92A0726" w14:textId="77777777" w:rsidR="00E150F4" w:rsidRDefault="00F02052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与本项目类似的成功案例（合同复印件及中标公告&lt;包含网址及网站抬头等信息的全网页截屏&gt;）</w:t>
      </w:r>
    </w:p>
    <w:p w14:paraId="64282709" w14:textId="77777777" w:rsidR="00E150F4" w:rsidRDefault="00F02052">
      <w:pPr>
        <w:pStyle w:val="aa"/>
        <w:widowControl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653F1FA3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14:paraId="4721CC42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14:paraId="73FD43B2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14:paraId="1C3A4ED3" w14:textId="36E5D624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关于付款周期的约定：签订合同后，供应商完成全部产品安装、调试，正常使用30日后，经采购方验收合格，签署《南京医科大学附属口腔医院验收报告》，凭发票支付合同总价的</w:t>
      </w:r>
      <w:r w:rsidR="008D31BA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0%；留合同总价的10%作为本项目的尾款，自采购方支付至90%合同款12个月后，产品运行正常，售后服务良好，无质量、安全和服务问题，经甲方确认，支付合同尾款10%。</w:t>
      </w:r>
    </w:p>
    <w:p w14:paraId="64F44EC7" w14:textId="77777777" w:rsidR="00E150F4" w:rsidRDefault="00F02052">
      <w:pPr>
        <w:pStyle w:val="aa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E150F4" w14:paraId="07614542" w14:textId="77777777">
        <w:tc>
          <w:tcPr>
            <w:tcW w:w="1939" w:type="dxa"/>
            <w:gridSpan w:val="2"/>
          </w:tcPr>
          <w:p w14:paraId="479DDB5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14:paraId="23CC3336" w14:textId="77777777" w:rsidR="00E150F4" w:rsidRDefault="00F02052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E150F4" w14:paraId="011C247D" w14:textId="77777777">
        <w:tc>
          <w:tcPr>
            <w:tcW w:w="876" w:type="dxa"/>
          </w:tcPr>
          <w:p w14:paraId="68DEF5A6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14:paraId="71CE815C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14:paraId="7E273F7F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14:paraId="663FA0D3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4F4E4C0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3070177F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E150F4" w14:paraId="333B7B02" w14:textId="77777777">
        <w:tc>
          <w:tcPr>
            <w:tcW w:w="876" w:type="dxa"/>
          </w:tcPr>
          <w:p w14:paraId="46D5824E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14:paraId="067CA3AC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48123A7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EE63384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3254CAC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1238AD67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023ED16C" w14:textId="77777777">
        <w:tc>
          <w:tcPr>
            <w:tcW w:w="876" w:type="dxa"/>
          </w:tcPr>
          <w:p w14:paraId="377CCD1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14:paraId="6618BB58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0B3D4CE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49C28A8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4E06BF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6B2F5818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28900FE0" w14:textId="77777777">
        <w:tc>
          <w:tcPr>
            <w:tcW w:w="876" w:type="dxa"/>
          </w:tcPr>
          <w:p w14:paraId="3BD363D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14:paraId="2DE7E08B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211E46E3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77B6BD1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F117ABF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08CAFB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3BE82D81" w14:textId="77777777">
        <w:tc>
          <w:tcPr>
            <w:tcW w:w="1939" w:type="dxa"/>
            <w:gridSpan w:val="2"/>
          </w:tcPr>
          <w:p w14:paraId="780A8622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14:paraId="245AC60A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14:paraId="43877613" w14:textId="77777777" w:rsidR="00E150F4" w:rsidRDefault="00F02052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E150F4" w14:paraId="4E31D141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6C10361C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7560CF0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E150F4" w14:paraId="3A566FFB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0B02280A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14:paraId="21854236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739DFDF4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28F37A0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2AC4367B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14:paraId="321ABBC7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E150F4" w14:paraId="029C3D85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4BA0B254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4B6E908E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439ED753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55D7AF2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79BC28EC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21F82F95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58AA8FD5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0C50F6DB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E7A914" w14:textId="77777777" w:rsidR="00E150F4" w:rsidRDefault="00F02052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注：</w:t>
      </w:r>
      <w:r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25A7AEEC" w14:textId="77777777" w:rsidR="00E150F4" w:rsidRDefault="00E150F4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14:paraId="624204DC" w14:textId="77777777" w:rsidR="00E150F4" w:rsidRDefault="00F0205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734E8AAA" w14:textId="77777777" w:rsidR="00E150F4" w:rsidRDefault="00F0205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0E0DB17" w14:textId="77777777" w:rsidR="00E150F4" w:rsidRDefault="00F0205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20E975D4" w14:textId="77777777" w:rsidR="00E150F4" w:rsidRDefault="00F02052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14:paraId="4C86CC8C" w14:textId="77777777" w:rsidR="00E150F4" w:rsidRDefault="00E150F4">
      <w:pPr>
        <w:widowControl/>
        <w:jc w:val="left"/>
        <w:rPr>
          <w:rFonts w:ascii="宋体" w:hAnsi="宋体"/>
          <w:sz w:val="24"/>
          <w:szCs w:val="24"/>
        </w:rPr>
      </w:pPr>
    </w:p>
    <w:p w14:paraId="013A527A" w14:textId="77777777" w:rsidR="00E150F4" w:rsidRPr="00E65D66" w:rsidRDefault="00F02052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E65D66">
        <w:rPr>
          <w:rFonts w:ascii="宋体" w:hAnsi="宋体" w:cs="Arial" w:hint="eastAsia"/>
          <w:b/>
          <w:kern w:val="0"/>
          <w:sz w:val="24"/>
          <w:szCs w:val="24"/>
        </w:rPr>
        <w:t>五、</w:t>
      </w:r>
      <w:r w:rsidRPr="00E65D66">
        <w:rPr>
          <w:rFonts w:ascii="宋体" w:hAnsi="宋体" w:hint="eastAsia"/>
          <w:b/>
          <w:sz w:val="24"/>
          <w:szCs w:val="24"/>
        </w:rPr>
        <w:t>项目调研会议安排：</w:t>
      </w:r>
    </w:p>
    <w:p w14:paraId="123A1BE4" w14:textId="3F567581" w:rsidR="00E150F4" w:rsidRDefault="00F0205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65D66">
        <w:rPr>
          <w:rFonts w:ascii="宋体" w:hAnsi="宋体" w:hint="eastAsia"/>
          <w:b/>
          <w:sz w:val="24"/>
          <w:szCs w:val="24"/>
        </w:rPr>
        <w:t>时间：2024年8月 13日(星期二)</w:t>
      </w:r>
      <w:r w:rsidR="008D31BA">
        <w:rPr>
          <w:rFonts w:ascii="宋体" w:hAnsi="宋体" w:hint="eastAsia"/>
          <w:b/>
          <w:sz w:val="24"/>
          <w:szCs w:val="24"/>
        </w:rPr>
        <w:t>上</w:t>
      </w:r>
      <w:r w:rsidRPr="00E65D66">
        <w:rPr>
          <w:rFonts w:ascii="宋体" w:hAnsi="宋体" w:hint="eastAsia"/>
          <w:b/>
          <w:sz w:val="24"/>
          <w:szCs w:val="24"/>
        </w:rPr>
        <w:t>午</w:t>
      </w:r>
      <w:r w:rsidR="008D31BA">
        <w:rPr>
          <w:rFonts w:ascii="宋体" w:hAnsi="宋体" w:hint="eastAsia"/>
          <w:b/>
          <w:sz w:val="24"/>
          <w:szCs w:val="24"/>
        </w:rPr>
        <w:t>8:3</w:t>
      </w:r>
      <w:r w:rsidRPr="00E65D66">
        <w:rPr>
          <w:rFonts w:ascii="宋体" w:hAnsi="宋体" w:hint="eastAsia"/>
          <w:b/>
          <w:sz w:val="24"/>
          <w:szCs w:val="24"/>
        </w:rPr>
        <w:t>0</w:t>
      </w:r>
    </w:p>
    <w:p w14:paraId="610F3B1F" w14:textId="77777777" w:rsidR="00E150F4" w:rsidRDefault="00F0205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14:paraId="49100DA1" w14:textId="77777777" w:rsidR="00E150F4" w:rsidRDefault="00F02052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608F9403" w14:textId="77777777" w:rsidR="00E150F4" w:rsidRDefault="00F02052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采购中心：李老师         联系方式：69593206</w:t>
      </w:r>
    </w:p>
    <w:p w14:paraId="2F5B0719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 w14:paraId="6BE1C759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r>
        <w:rPr>
          <w:b/>
          <w:sz w:val="24"/>
          <w:szCs w:val="24"/>
        </w:rPr>
        <w:t>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 w14:paraId="05F4C8F8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3. </w:t>
      </w:r>
      <w:r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14:paraId="75D7652A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704C4F4B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58E50331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3C2FAFAE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2F282F2C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2DCE5ACE" w14:textId="77777777" w:rsidR="00CB7DE7" w:rsidRDefault="00CB7DE7">
      <w:pPr>
        <w:rPr>
          <w:rFonts w:ascii="Calibri" w:hAnsi="Calibri"/>
          <w:b/>
          <w:sz w:val="24"/>
          <w:szCs w:val="32"/>
        </w:rPr>
      </w:pPr>
    </w:p>
    <w:p w14:paraId="607E6DE5" w14:textId="13D9A2D8" w:rsidR="001160D7" w:rsidRDefault="001160D7">
      <w:pPr>
        <w:widowControl/>
        <w:jc w:val="left"/>
        <w:rPr>
          <w:rFonts w:ascii="Calibri" w:hAnsi="Calibri"/>
          <w:b/>
          <w:sz w:val="24"/>
          <w:szCs w:val="32"/>
        </w:rPr>
      </w:pPr>
      <w:r>
        <w:rPr>
          <w:rFonts w:ascii="Calibri" w:hAnsi="Calibri"/>
          <w:b/>
          <w:sz w:val="24"/>
          <w:szCs w:val="32"/>
        </w:rPr>
        <w:br w:type="page"/>
      </w:r>
    </w:p>
    <w:p w14:paraId="1F490439" w14:textId="77777777" w:rsidR="00CB7DE7" w:rsidRPr="001160D7" w:rsidRDefault="00CB7DE7">
      <w:pPr>
        <w:rPr>
          <w:rFonts w:ascii="Calibri" w:hAnsi="Calibri"/>
          <w:b/>
          <w:sz w:val="24"/>
          <w:szCs w:val="32"/>
        </w:rPr>
      </w:pPr>
      <w:bookmarkStart w:id="2" w:name="_GoBack"/>
      <w:bookmarkEnd w:id="2"/>
    </w:p>
    <w:p w14:paraId="6549A88B" w14:textId="7E1A6402" w:rsidR="00E150F4" w:rsidRDefault="00F02052">
      <w:pPr>
        <w:rPr>
          <w:rFonts w:ascii="Calibri" w:hAnsi="Calibri"/>
          <w:szCs w:val="24"/>
        </w:rPr>
      </w:pPr>
      <w:r>
        <w:rPr>
          <w:rFonts w:ascii="Calibri" w:hAnsi="Calibri" w:hint="eastAsia"/>
          <w:b/>
          <w:sz w:val="24"/>
          <w:szCs w:val="32"/>
        </w:rPr>
        <w:t>附件</w:t>
      </w:r>
      <w:r>
        <w:rPr>
          <w:rFonts w:ascii="Calibri" w:hAnsi="Calibri" w:hint="eastAsia"/>
          <w:b/>
          <w:sz w:val="24"/>
          <w:szCs w:val="32"/>
        </w:rPr>
        <w:t>1</w:t>
      </w:r>
      <w:r>
        <w:rPr>
          <w:rFonts w:ascii="Calibri" w:hAnsi="Calibri" w:hint="eastAsia"/>
          <w:b/>
          <w:sz w:val="24"/>
          <w:szCs w:val="32"/>
        </w:rPr>
        <w:t>：</w:t>
      </w:r>
      <w:r>
        <w:rPr>
          <w:rFonts w:ascii="Calibri" w:hAnsi="Calibri"/>
          <w:b/>
          <w:sz w:val="24"/>
          <w:szCs w:val="32"/>
        </w:rPr>
        <w:t xml:space="preserve"> </w:t>
      </w:r>
      <w:r>
        <w:rPr>
          <w:rFonts w:ascii="Calibri" w:hAnsi="Calibri" w:hint="eastAsia"/>
          <w:b/>
          <w:sz w:val="24"/>
          <w:szCs w:val="32"/>
        </w:rPr>
        <w:t>南京医科大学附属口腔医院</w:t>
      </w:r>
      <w:r w:rsidR="008D31BA" w:rsidRPr="008D31BA">
        <w:rPr>
          <w:rFonts w:ascii="Calibri" w:hAnsi="Calibri" w:hint="eastAsia"/>
          <w:b/>
          <w:sz w:val="24"/>
          <w:szCs w:val="32"/>
        </w:rPr>
        <w:t>激光多普勒及经皮氧分压测量</w:t>
      </w:r>
      <w:proofErr w:type="gramStart"/>
      <w:r w:rsidR="008D31BA" w:rsidRPr="008D31BA">
        <w:rPr>
          <w:rFonts w:ascii="Calibri" w:hAnsi="Calibri" w:hint="eastAsia"/>
          <w:b/>
          <w:sz w:val="24"/>
          <w:szCs w:val="32"/>
        </w:rPr>
        <w:t>仪</w:t>
      </w:r>
      <w:r>
        <w:rPr>
          <w:rFonts w:ascii="Calibri" w:hAnsi="Calibri" w:hint="eastAsia"/>
          <w:b/>
          <w:sz w:val="24"/>
          <w:szCs w:val="32"/>
        </w:rPr>
        <w:t>项目</w:t>
      </w:r>
      <w:proofErr w:type="gramEnd"/>
      <w:r>
        <w:rPr>
          <w:rFonts w:ascii="Calibri" w:hAnsi="Calibri" w:hint="eastAsia"/>
          <w:b/>
          <w:sz w:val="24"/>
          <w:szCs w:val="32"/>
        </w:rPr>
        <w:t>调研参数要求</w:t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</w:p>
    <w:p w14:paraId="42B1775C" w14:textId="557BA486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08DF17B" w14:textId="77777777" w:rsidR="00CB7DE7" w:rsidRPr="00CB7DE7" w:rsidRDefault="00CB7DE7" w:rsidP="00CB7DE7">
      <w:pPr>
        <w:numPr>
          <w:ilvl w:val="0"/>
          <w:numId w:val="6"/>
        </w:numPr>
        <w:spacing w:line="360" w:lineRule="auto"/>
        <w:rPr>
          <w:rFonts w:ascii="Calibri" w:hAnsi="Calibri"/>
          <w:szCs w:val="24"/>
        </w:rPr>
      </w:pPr>
      <w:r w:rsidRPr="00CB7DE7">
        <w:rPr>
          <w:rFonts w:ascii="Calibri" w:hAnsi="Calibri" w:hint="eastAsia"/>
          <w:szCs w:val="24"/>
        </w:rPr>
        <w:t>触摸式显示屏及数据记录存储系统；激光多普勒温控单元、经皮氧分压单元和压力单元。</w:t>
      </w:r>
    </w:p>
    <w:p w14:paraId="0075CAAA" w14:textId="77777777" w:rsidR="00CB7DE7" w:rsidRPr="00CB7DE7" w:rsidRDefault="00CB7DE7" w:rsidP="00CB7DE7">
      <w:pPr>
        <w:numPr>
          <w:ilvl w:val="0"/>
          <w:numId w:val="6"/>
        </w:numPr>
        <w:spacing w:line="360" w:lineRule="auto"/>
        <w:rPr>
          <w:rFonts w:ascii="Calibri" w:hAnsi="Calibri"/>
          <w:szCs w:val="24"/>
        </w:rPr>
      </w:pPr>
      <w:r w:rsidRPr="00CB7DE7">
        <w:rPr>
          <w:rFonts w:ascii="Calibri" w:hAnsi="Calibri" w:hint="eastAsia"/>
          <w:szCs w:val="24"/>
        </w:rPr>
        <w:t>功能单元配置要求：一个通道的</w:t>
      </w:r>
      <w:proofErr w:type="gramStart"/>
      <w:r w:rsidRPr="00CB7DE7">
        <w:rPr>
          <w:rFonts w:ascii="Calibri" w:hAnsi="Calibri" w:hint="eastAsia"/>
          <w:szCs w:val="24"/>
        </w:rPr>
        <w:t>温控血</w:t>
      </w:r>
      <w:proofErr w:type="gramEnd"/>
      <w:r w:rsidRPr="00CB7DE7">
        <w:rPr>
          <w:rFonts w:ascii="Calibri" w:hAnsi="Calibri" w:hint="eastAsia"/>
          <w:szCs w:val="24"/>
        </w:rPr>
        <w:t>流复合单元</w:t>
      </w:r>
    </w:p>
    <w:p w14:paraId="41EC7A1B" w14:textId="77777777" w:rsidR="00CB7DE7" w:rsidRPr="00CB7DE7" w:rsidRDefault="00CB7DE7" w:rsidP="00CB7DE7">
      <w:pPr>
        <w:spacing w:line="360" w:lineRule="auto"/>
        <w:rPr>
          <w:rFonts w:ascii="Calibri" w:hAnsi="Calibri"/>
          <w:szCs w:val="24"/>
        </w:rPr>
      </w:pPr>
      <w:r w:rsidRPr="00CB7DE7">
        <w:rPr>
          <w:rFonts w:ascii="Calibri" w:hAnsi="Calibri" w:hint="eastAsia"/>
          <w:szCs w:val="24"/>
        </w:rPr>
        <w:t>3</w:t>
      </w:r>
      <w:r w:rsidRPr="00CB7DE7">
        <w:rPr>
          <w:rFonts w:ascii="Calibri" w:hAnsi="Calibri" w:hint="eastAsia"/>
          <w:szCs w:val="24"/>
        </w:rPr>
        <w:t>、测量范围：</w:t>
      </w:r>
      <w:r w:rsidRPr="00CB7DE7">
        <w:rPr>
          <w:rFonts w:ascii="Calibri" w:hAnsi="Calibri" w:hint="eastAsia"/>
          <w:szCs w:val="24"/>
        </w:rPr>
        <w:t>0</w:t>
      </w:r>
      <w:r w:rsidRPr="00CB7DE7">
        <w:rPr>
          <w:rFonts w:ascii="Calibri" w:hAnsi="Calibri" w:hint="eastAsia"/>
          <w:szCs w:val="24"/>
        </w:rPr>
        <w:t>至</w:t>
      </w:r>
      <w:r w:rsidRPr="00CB7DE7">
        <w:rPr>
          <w:rFonts w:ascii="Calibri" w:hAnsi="Calibri" w:hint="eastAsia"/>
          <w:szCs w:val="24"/>
        </w:rPr>
        <w:t>1000PU</w:t>
      </w:r>
    </w:p>
    <w:p w14:paraId="281526F1" w14:textId="77777777" w:rsidR="00CB7DE7" w:rsidRPr="00CB7DE7" w:rsidRDefault="00CB7DE7" w:rsidP="00CB7DE7">
      <w:pPr>
        <w:spacing w:line="360" w:lineRule="auto"/>
        <w:rPr>
          <w:rFonts w:ascii="Calibri" w:hAnsi="Calibri"/>
          <w:szCs w:val="24"/>
        </w:rPr>
      </w:pPr>
      <w:r w:rsidRPr="00CB7DE7">
        <w:rPr>
          <w:rFonts w:ascii="Calibri" w:hAnsi="Calibri" w:hint="eastAsia"/>
          <w:szCs w:val="24"/>
        </w:rPr>
        <w:t>4</w:t>
      </w:r>
      <w:r w:rsidRPr="00CB7DE7">
        <w:rPr>
          <w:rFonts w:ascii="Calibri" w:hAnsi="Calibri" w:hint="eastAsia"/>
          <w:szCs w:val="24"/>
        </w:rPr>
        <w:t>、自动生成检查报告，可直接连接打印机打印，也可以导出</w:t>
      </w:r>
      <w:r w:rsidRPr="00CB7DE7">
        <w:rPr>
          <w:rFonts w:ascii="Calibri" w:hAnsi="Calibri" w:hint="eastAsia"/>
          <w:szCs w:val="24"/>
        </w:rPr>
        <w:t>PDF</w:t>
      </w:r>
      <w:r w:rsidRPr="00CB7DE7">
        <w:rPr>
          <w:rFonts w:ascii="Calibri" w:hAnsi="Calibri" w:hint="eastAsia"/>
          <w:szCs w:val="24"/>
        </w:rPr>
        <w:t>格式保存。</w:t>
      </w:r>
    </w:p>
    <w:p w14:paraId="4E83B548" w14:textId="77777777" w:rsidR="00CB7DE7" w:rsidRPr="00CB7DE7" w:rsidRDefault="00CB7DE7" w:rsidP="00CB7DE7">
      <w:pPr>
        <w:spacing w:line="360" w:lineRule="auto"/>
        <w:rPr>
          <w:rFonts w:ascii="Calibri" w:hAnsi="Calibri"/>
          <w:szCs w:val="24"/>
        </w:rPr>
      </w:pPr>
      <w:r w:rsidRPr="00CB7DE7">
        <w:rPr>
          <w:rFonts w:ascii="Calibri" w:hAnsi="Calibri" w:hint="eastAsia"/>
          <w:szCs w:val="24"/>
        </w:rPr>
        <w:t>5</w:t>
      </w:r>
      <w:r w:rsidRPr="00CB7DE7">
        <w:rPr>
          <w:rFonts w:ascii="Calibri" w:hAnsi="Calibri" w:hint="eastAsia"/>
          <w:szCs w:val="24"/>
        </w:rPr>
        <w:t>、软件可编辑检查模板，全提示流程。</w:t>
      </w:r>
    </w:p>
    <w:p w14:paraId="23B68EE6" w14:textId="77777777" w:rsidR="00E150F4" w:rsidRPr="00CB7DE7" w:rsidRDefault="00E150F4">
      <w:pPr>
        <w:spacing w:line="360" w:lineRule="auto"/>
        <w:rPr>
          <w:b/>
          <w:sz w:val="24"/>
          <w:szCs w:val="24"/>
        </w:rPr>
      </w:pPr>
    </w:p>
    <w:p w14:paraId="5BF227F4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4E27698C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5E4D3259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2BF17126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423005A4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603E9ABF" w14:textId="77777777" w:rsidR="00E150F4" w:rsidRDefault="00F02052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04D6F7" w14:textId="77777777" w:rsidR="00E150F4" w:rsidRDefault="00F02052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6F0B788F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103E699A" w14:textId="77777777" w:rsidR="00E150F4" w:rsidRDefault="00E150F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3F45D552" w14:textId="77777777" w:rsidR="00E150F4" w:rsidRDefault="00E150F4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9D5CB48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49A92E80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5F2AB4A7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8C9BB3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9C133BB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0772A89F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DF6C263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D79080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E00ECF5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F581D9E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8AC25EA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86AF3AF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F30448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70CC3F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8EC18BA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1D1B921C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4059FF50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6F484100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715FCB7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62DA53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49AA804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195BFEF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目  录</w:t>
      </w:r>
    </w:p>
    <w:p w14:paraId="287AA2F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727E714D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…</w:t>
      </w:r>
    </w:p>
    <w:p w14:paraId="6CD1788F" w14:textId="77777777" w:rsidR="00E150F4" w:rsidRDefault="00E150F4">
      <w:pPr>
        <w:spacing w:line="360" w:lineRule="auto"/>
        <w:rPr>
          <w:b/>
          <w:sz w:val="24"/>
          <w:szCs w:val="24"/>
        </w:rPr>
      </w:pPr>
    </w:p>
    <w:sectPr w:rsidR="00E150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21CDBD" w15:done="0"/>
  <w15:commentEx w15:paraId="72DF4313" w15:done="0"/>
  <w15:commentEx w15:paraId="538B34D1" w15:done="0"/>
  <w15:commentEx w15:paraId="6EEC01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AE1F" w14:textId="77777777" w:rsidR="000C2CA3" w:rsidRDefault="000C2CA3">
      <w:r>
        <w:separator/>
      </w:r>
    </w:p>
  </w:endnote>
  <w:endnote w:type="continuationSeparator" w:id="0">
    <w:p w14:paraId="461A657F" w14:textId="77777777" w:rsidR="000C2CA3" w:rsidRDefault="000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99B9" w14:textId="77777777" w:rsidR="00E150F4" w:rsidRDefault="00F02052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160D7">
      <w:rPr>
        <w:rStyle w:val="a8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14:paraId="52FDC049" w14:textId="77777777" w:rsidR="00E150F4" w:rsidRDefault="00E150F4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8C71" w14:textId="77777777" w:rsidR="00E150F4" w:rsidRDefault="00F020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5809E853" w14:textId="77777777" w:rsidR="00E150F4" w:rsidRDefault="00E15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21158" w14:textId="77777777" w:rsidR="000C2CA3" w:rsidRDefault="000C2CA3">
      <w:r>
        <w:separator/>
      </w:r>
    </w:p>
  </w:footnote>
  <w:footnote w:type="continuationSeparator" w:id="0">
    <w:p w14:paraId="1DE603E0" w14:textId="77777777" w:rsidR="000C2CA3" w:rsidRDefault="000C2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6B2B" w14:textId="77777777" w:rsidR="00E150F4" w:rsidRDefault="00E150F4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38"/>
    <w:multiLevelType w:val="multilevel"/>
    <w:tmpl w:val="12783038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168EC1"/>
    <w:multiLevelType w:val="singleLevel"/>
    <w:tmpl w:val="63168E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67297"/>
    <w:rsid w:val="00084197"/>
    <w:rsid w:val="00086CF0"/>
    <w:rsid w:val="000B16E7"/>
    <w:rsid w:val="000C2CA3"/>
    <w:rsid w:val="000D53CD"/>
    <w:rsid w:val="000D72BB"/>
    <w:rsid w:val="000E14F1"/>
    <w:rsid w:val="000E63C3"/>
    <w:rsid w:val="00100FE6"/>
    <w:rsid w:val="001160D7"/>
    <w:rsid w:val="001226DB"/>
    <w:rsid w:val="00126248"/>
    <w:rsid w:val="001326B1"/>
    <w:rsid w:val="00135BB3"/>
    <w:rsid w:val="001413A4"/>
    <w:rsid w:val="00144B46"/>
    <w:rsid w:val="001630B9"/>
    <w:rsid w:val="001842C1"/>
    <w:rsid w:val="0019720D"/>
    <w:rsid w:val="001B19F6"/>
    <w:rsid w:val="001B1B37"/>
    <w:rsid w:val="001B4FEF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2F78F6"/>
    <w:rsid w:val="00317D7F"/>
    <w:rsid w:val="00340538"/>
    <w:rsid w:val="00346A36"/>
    <w:rsid w:val="00353477"/>
    <w:rsid w:val="0035477D"/>
    <w:rsid w:val="003608D5"/>
    <w:rsid w:val="00363050"/>
    <w:rsid w:val="0037748D"/>
    <w:rsid w:val="00382DE1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6797"/>
    <w:rsid w:val="004238C7"/>
    <w:rsid w:val="00424633"/>
    <w:rsid w:val="004369F5"/>
    <w:rsid w:val="00447019"/>
    <w:rsid w:val="00450AC5"/>
    <w:rsid w:val="00456E1F"/>
    <w:rsid w:val="0045703D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274BD"/>
    <w:rsid w:val="0053287D"/>
    <w:rsid w:val="0053744E"/>
    <w:rsid w:val="0054577D"/>
    <w:rsid w:val="005547F1"/>
    <w:rsid w:val="00574FE6"/>
    <w:rsid w:val="005905FE"/>
    <w:rsid w:val="005A3361"/>
    <w:rsid w:val="005C4FE3"/>
    <w:rsid w:val="005D446C"/>
    <w:rsid w:val="005D652D"/>
    <w:rsid w:val="005E1292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E67D6"/>
    <w:rsid w:val="006F19C9"/>
    <w:rsid w:val="00700847"/>
    <w:rsid w:val="00736926"/>
    <w:rsid w:val="00736E60"/>
    <w:rsid w:val="00742F84"/>
    <w:rsid w:val="00744657"/>
    <w:rsid w:val="00763C6F"/>
    <w:rsid w:val="00767595"/>
    <w:rsid w:val="00771517"/>
    <w:rsid w:val="00775545"/>
    <w:rsid w:val="007910E6"/>
    <w:rsid w:val="007958B3"/>
    <w:rsid w:val="007A59EE"/>
    <w:rsid w:val="007A60F8"/>
    <w:rsid w:val="007B2B0D"/>
    <w:rsid w:val="007B4058"/>
    <w:rsid w:val="007B791E"/>
    <w:rsid w:val="007F18DA"/>
    <w:rsid w:val="0082025A"/>
    <w:rsid w:val="00826AB4"/>
    <w:rsid w:val="0084503E"/>
    <w:rsid w:val="00850C3A"/>
    <w:rsid w:val="008522FE"/>
    <w:rsid w:val="00864632"/>
    <w:rsid w:val="008756DE"/>
    <w:rsid w:val="00881C2D"/>
    <w:rsid w:val="00882711"/>
    <w:rsid w:val="008A262A"/>
    <w:rsid w:val="008B0558"/>
    <w:rsid w:val="008C0586"/>
    <w:rsid w:val="008D23D6"/>
    <w:rsid w:val="008D31BA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33AA"/>
    <w:rsid w:val="009C232B"/>
    <w:rsid w:val="009C35A9"/>
    <w:rsid w:val="009C677F"/>
    <w:rsid w:val="009E0992"/>
    <w:rsid w:val="009F66F3"/>
    <w:rsid w:val="009F72EB"/>
    <w:rsid w:val="00A20D90"/>
    <w:rsid w:val="00A3675B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AF4F5D"/>
    <w:rsid w:val="00B2013E"/>
    <w:rsid w:val="00B51929"/>
    <w:rsid w:val="00B67A81"/>
    <w:rsid w:val="00B74B38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92E51"/>
    <w:rsid w:val="00CB4C4F"/>
    <w:rsid w:val="00CB7DE7"/>
    <w:rsid w:val="00CC58A1"/>
    <w:rsid w:val="00CE3930"/>
    <w:rsid w:val="00CE4B7D"/>
    <w:rsid w:val="00D105FD"/>
    <w:rsid w:val="00D30E01"/>
    <w:rsid w:val="00D36415"/>
    <w:rsid w:val="00D4601E"/>
    <w:rsid w:val="00D53D91"/>
    <w:rsid w:val="00D62C83"/>
    <w:rsid w:val="00D73D21"/>
    <w:rsid w:val="00D80E60"/>
    <w:rsid w:val="00D82B1A"/>
    <w:rsid w:val="00DA4A0B"/>
    <w:rsid w:val="00DA772F"/>
    <w:rsid w:val="00DA7D23"/>
    <w:rsid w:val="00DC39C6"/>
    <w:rsid w:val="00DC7D49"/>
    <w:rsid w:val="00DE2CF4"/>
    <w:rsid w:val="00DE5402"/>
    <w:rsid w:val="00E12EA4"/>
    <w:rsid w:val="00E13861"/>
    <w:rsid w:val="00E141E0"/>
    <w:rsid w:val="00E150F4"/>
    <w:rsid w:val="00E16A3A"/>
    <w:rsid w:val="00E16E73"/>
    <w:rsid w:val="00E24B30"/>
    <w:rsid w:val="00E3191C"/>
    <w:rsid w:val="00E376DE"/>
    <w:rsid w:val="00E65D66"/>
    <w:rsid w:val="00E709BE"/>
    <w:rsid w:val="00E82615"/>
    <w:rsid w:val="00E920A5"/>
    <w:rsid w:val="00EA0584"/>
    <w:rsid w:val="00EB0A51"/>
    <w:rsid w:val="00EC6FB7"/>
    <w:rsid w:val="00ED0D5C"/>
    <w:rsid w:val="00EF310E"/>
    <w:rsid w:val="00F02052"/>
    <w:rsid w:val="00F065C4"/>
    <w:rsid w:val="00F10A0A"/>
    <w:rsid w:val="00F147F0"/>
    <w:rsid w:val="00F23437"/>
    <w:rsid w:val="00F24A98"/>
    <w:rsid w:val="00F32565"/>
    <w:rsid w:val="00F36C8A"/>
    <w:rsid w:val="00F608DA"/>
    <w:rsid w:val="00F64315"/>
    <w:rsid w:val="00F645F9"/>
    <w:rsid w:val="00F77F11"/>
    <w:rsid w:val="00F80508"/>
    <w:rsid w:val="00FB40FD"/>
    <w:rsid w:val="00FC208B"/>
    <w:rsid w:val="00FD015A"/>
    <w:rsid w:val="00FD2A8F"/>
    <w:rsid w:val="00FE0DA2"/>
    <w:rsid w:val="00FF20EA"/>
    <w:rsid w:val="00FF5B7C"/>
    <w:rsid w:val="00FF7A9B"/>
    <w:rsid w:val="6CE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7510-4DB4-4ECE-9B76-3C86D7E2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355</Words>
  <Characters>2030</Characters>
  <Application>Microsoft Office Word</Application>
  <DocSecurity>0</DocSecurity>
  <Lines>16</Lines>
  <Paragraphs>4</Paragraphs>
  <ScaleCrop>false</ScaleCrop>
  <Company>P R C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235</cp:revision>
  <dcterms:created xsi:type="dcterms:W3CDTF">2019-04-28T09:32:00Z</dcterms:created>
  <dcterms:modified xsi:type="dcterms:W3CDTF">2024-08-02T08:13:00Z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DF24856E83D842BC86487E612C16F38E_12</vt:lpwstr>
  </property>
</Properties>
</file>