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9917" w14:textId="77777777" w:rsidR="00103249" w:rsidRPr="000D63DC" w:rsidRDefault="00103249" w:rsidP="00103249">
      <w:pPr>
        <w:spacing w:line="360" w:lineRule="auto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  <w:r w:rsidRPr="000D63DC">
        <w:rPr>
          <w:rFonts w:ascii="Calibri" w:hAnsi="Calibri" w:hint="eastAsia"/>
          <w:b/>
          <w:sz w:val="24"/>
          <w:szCs w:val="32"/>
        </w:rPr>
        <w:t>附件</w:t>
      </w:r>
      <w:r w:rsidRPr="000D63DC">
        <w:rPr>
          <w:rFonts w:ascii="Calibri" w:hAnsi="Calibri" w:hint="eastAsia"/>
          <w:b/>
          <w:sz w:val="24"/>
          <w:szCs w:val="32"/>
        </w:rPr>
        <w:t>1</w:t>
      </w:r>
      <w:r w:rsidRPr="000D63DC">
        <w:rPr>
          <w:rFonts w:ascii="Calibri" w:hAnsi="Calibri" w:hint="eastAsia"/>
          <w:b/>
          <w:sz w:val="24"/>
          <w:szCs w:val="32"/>
        </w:rPr>
        <w:t>：</w:t>
      </w:r>
      <w:r w:rsidRPr="000D63DC">
        <w:rPr>
          <w:rFonts w:ascii="宋体" w:hAnsi="宋体" w:cs="宋体" w:hint="eastAsia"/>
          <w:b/>
          <w:sz w:val="24"/>
          <w:szCs w:val="24"/>
          <w:u w:val="single"/>
        </w:rPr>
        <w:t>南京医科大学附属口腔医院外送义齿加工服务</w:t>
      </w:r>
      <w:r w:rsidRPr="000D63DC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14:paraId="1A2CEAF0" w14:textId="77777777" w:rsidR="00103249" w:rsidRPr="000D63DC" w:rsidRDefault="00103249" w:rsidP="00103249">
      <w:pPr>
        <w:ind w:firstLineChars="100" w:firstLine="281"/>
        <w:rPr>
          <w:rFonts w:ascii="仿宋" w:eastAsia="仿宋" w:hAnsi="仿宋" w:cstheme="minorBidi" w:hint="eastAsia"/>
          <w:b/>
          <w:sz w:val="28"/>
          <w:szCs w:val="28"/>
        </w:rPr>
      </w:pPr>
      <w:r w:rsidRPr="000D63DC">
        <w:rPr>
          <w:rFonts w:ascii="仿宋" w:eastAsia="仿宋" w:hAnsi="仿宋" w:cstheme="minorBidi" w:hint="eastAsia"/>
          <w:b/>
          <w:sz w:val="28"/>
          <w:szCs w:val="28"/>
        </w:rPr>
        <w:t>一、服务内容：</w:t>
      </w:r>
    </w:p>
    <w:p w14:paraId="483DBC06" w14:textId="77777777" w:rsidR="00103249" w:rsidRPr="000D63DC" w:rsidRDefault="00103249" w:rsidP="00103249">
      <w:pPr>
        <w:spacing w:line="360" w:lineRule="auto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1、义齿、矫治器及修复工艺相关定制产品的加工</w:t>
      </w:r>
    </w:p>
    <w:p w14:paraId="03630CEC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医院临床科室与门诊需要外送的义齿、矫治器及相关产品的定制加工，满足国家义齿类产品管理规范与基本消毒要求，属于医疗器械类的产品应经过注册与许可。</w:t>
      </w:r>
    </w:p>
    <w:p w14:paraId="09F36BF1" w14:textId="77777777" w:rsidR="00103249" w:rsidRPr="000D63DC" w:rsidRDefault="00103249" w:rsidP="00103249">
      <w:pPr>
        <w:spacing w:line="360" w:lineRule="auto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 xml:space="preserve">2、配送服务 </w:t>
      </w:r>
    </w:p>
    <w:p w14:paraId="5A80A47C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按照归口管理部门的具体要求，完成模型与产品的收发配送。</w:t>
      </w:r>
    </w:p>
    <w:p w14:paraId="14332222" w14:textId="77777777" w:rsidR="00103249" w:rsidRPr="000D63DC" w:rsidRDefault="00103249" w:rsidP="00103249">
      <w:pPr>
        <w:spacing w:line="360" w:lineRule="auto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3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、技术服务</w:t>
      </w:r>
    </w:p>
    <w:p w14:paraId="08B13A36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提供年度技术合作培训，与招标方的义齿加工中心建立技术合作关系，开展新技术与修复工艺培训，协助完成新技术和新项目的应用，协助招标方开展修复工艺相关学术活动。</w:t>
      </w:r>
    </w:p>
    <w:p w14:paraId="1212E484" w14:textId="77777777" w:rsidR="00103249" w:rsidRPr="000D63DC" w:rsidRDefault="00103249" w:rsidP="00103249">
      <w:pPr>
        <w:spacing w:line="360" w:lineRule="auto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4、信息数据服务</w:t>
      </w:r>
    </w:p>
    <w:p w14:paraId="79D54696" w14:textId="77777777" w:rsidR="00103249" w:rsidRPr="000D63DC" w:rsidRDefault="00103249" w:rsidP="00103249">
      <w:pPr>
        <w:spacing w:line="360" w:lineRule="auto"/>
        <w:ind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提供加工产品的实时查询和相关统计，并能按照医院要求进行软件系统对接。</w:t>
      </w:r>
    </w:p>
    <w:p w14:paraId="0601CFE6" w14:textId="77777777" w:rsidR="00103249" w:rsidRPr="000D63DC" w:rsidRDefault="00103249" w:rsidP="00103249">
      <w:pPr>
        <w:spacing w:line="360" w:lineRule="auto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5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、其他服务</w:t>
      </w:r>
    </w:p>
    <w:p w14:paraId="0E915125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根据医院需求，在归口管理部门统一安排下，提供中间工序加工和上门椅旁服务，做好消毒管理、质量服务、应急服务。</w:t>
      </w:r>
    </w:p>
    <w:p w14:paraId="77E2C0D2" w14:textId="77777777" w:rsidR="00103249" w:rsidRPr="000D63DC" w:rsidRDefault="00103249" w:rsidP="00103249">
      <w:pPr>
        <w:spacing w:line="360" w:lineRule="auto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b/>
          <w:sz w:val="28"/>
          <w:szCs w:val="28"/>
        </w:rPr>
        <w:t>二、响应供应商履约能力</w:t>
      </w:r>
    </w:p>
    <w:p w14:paraId="510C23F6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1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、生产硬件与加工能力优良，加工规模与医院临床匹配，员工队伍稳定，人数满足生产需求，专业技师≥60%，内部技师培训体系完整，提供相关资料与一览表。</w:t>
      </w:r>
    </w:p>
    <w:p w14:paraId="59CC6EF4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lastRenderedPageBreak/>
        <w:t>2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、产品质量精良、稳定，有专职质量管理团队，提供相关资料。</w:t>
      </w:r>
    </w:p>
    <w:p w14:paraId="12C977A3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3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、生产设备齐全，产品品种涵盖修复工艺主要产品，提供主要设备一览表。</w:t>
      </w:r>
    </w:p>
    <w:p w14:paraId="55FF5865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  <w:t>三、产品质量要求</w:t>
      </w:r>
      <w:r w:rsidRPr="000D63DC"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  <w:tab/>
      </w:r>
    </w:p>
    <w:p w14:paraId="3FEEECAA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产品性能指标符合国家相关法规质量要求，并提供产品技术要求和检验规程。加工完毕的产品须由义齿加工中心和临床医生进行验收，并经病人装戴后确认产品功能。装戴不符合要求，应予返工重新制作，平均返工率应≤</w:t>
      </w: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4.5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%</w:t>
      </w: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 xml:space="preserve"> 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。重点质量要求如下：</w:t>
      </w:r>
    </w:p>
    <w:p w14:paraId="4BFA04A8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1、产品符合医生设计要求，与模型吻合。</w:t>
      </w:r>
    </w:p>
    <w:p w14:paraId="51918522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2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、原材料符合国家要求，提供主体材料一览表和注册证复印件。</w:t>
      </w:r>
    </w:p>
    <w:p w14:paraId="56AD5CF7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3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、义齿与相邻牙有接触，且接触部位与同名天然牙接触部位相同。</w:t>
      </w:r>
    </w:p>
    <w:p w14:paraId="53D453FC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4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、义齿形态仿生，色泽自然，光洁度良好。</w:t>
      </w:r>
    </w:p>
    <w:p w14:paraId="13A6C5BD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5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、义齿的咬合面解剖形态与对</w:t>
      </w:r>
      <w:proofErr w:type="gramStart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颌牙相适应</w:t>
      </w:r>
      <w:proofErr w:type="gramEnd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，牙尖交错合时上下颌牙之间咬合接触点均匀分布，且有13μm的间隙，前伸或侧向无早接触点，覆合覆盖关系良好。</w:t>
      </w:r>
    </w:p>
    <w:p w14:paraId="7FFC994E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6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、义齿边缘与工作模型之间密合。</w:t>
      </w:r>
    </w:p>
    <w:p w14:paraId="189247A4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7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、可摘局部义齿（成品）在原始工作模上就位出货。</w:t>
      </w:r>
    </w:p>
    <w:p w14:paraId="3ED30D42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8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、活动义齿与正畸矫治器固位力良好、边缘顺滑、模型整洁、符合生理功能。</w:t>
      </w:r>
    </w:p>
    <w:p w14:paraId="41B07D09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  <w:t>四、交货时间</w:t>
      </w:r>
    </w:p>
    <w:p w14:paraId="2AB996DD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交货时间是</w:t>
      </w:r>
      <w:proofErr w:type="gramStart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指收到</w:t>
      </w:r>
      <w:proofErr w:type="gramEnd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模型之日到成品送达医院的时间天数，</w:t>
      </w:r>
      <w:proofErr w:type="gramStart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含正常</w:t>
      </w:r>
      <w:proofErr w:type="gramEnd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快递运输时间，不包含试牙、等待基台、模型再确认的时间。交货地点：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lastRenderedPageBreak/>
        <w:t>采购人指定地点。</w:t>
      </w:r>
    </w:p>
    <w:p w14:paraId="2CDD78E6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1、交货时间要求如下：普通固定义齿</w:t>
      </w:r>
      <w:bookmarkStart w:id="0" w:name="_Hlk106612491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≤</w:t>
      </w:r>
      <w:bookmarkEnd w:id="0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9天、活动义齿≤10天、种植上部固定义齿≤11天、种植上部复杂义齿（如切削桥架固定义齿或覆盖义齿）≤16天、正畸产品≤10天，义齿交货</w:t>
      </w:r>
      <w:proofErr w:type="gramStart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超时率</w:t>
      </w:r>
      <w:proofErr w:type="gramEnd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应≤</w:t>
      </w: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2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%(不可抗拒因素除外)。</w:t>
      </w:r>
    </w:p>
    <w:p w14:paraId="4773D683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2、如遇特殊复杂病例，试戴周期长，应提前告知采购方医生；</w:t>
      </w:r>
    </w:p>
    <w:p w14:paraId="41F939F4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b/>
          <w:bCs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b/>
          <w:bCs/>
          <w:color w:val="333333"/>
          <w:sz w:val="27"/>
          <w:szCs w:val="27"/>
          <w:shd w:val="clear" w:color="auto" w:fill="FFFFFF"/>
        </w:rPr>
        <w:t>五、产品质保</w:t>
      </w:r>
    </w:p>
    <w:p w14:paraId="113121BB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1、质保期限：固定义齿类不少于</w:t>
      </w: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2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年、活动义齿类不少于1年、正畸矫治类不少于</w:t>
      </w: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6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个月，质保期内免费返工。</w:t>
      </w:r>
    </w:p>
    <w:p w14:paraId="24E7BF7A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2、因供应商自身问题或质量差错、质量不合格、质量事故，导致采购方或病人损害与损失的，应进行赔偿。</w:t>
      </w:r>
    </w:p>
    <w:p w14:paraId="69A97C2A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  <w:t>六、产品消毒</w:t>
      </w:r>
    </w:p>
    <w:p w14:paraId="260D5716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1、按照国家义齿生产管理要求进行模型及附件、成品消毒，有消毒作业文件。提供相关证明资料。</w:t>
      </w:r>
    </w:p>
    <w:p w14:paraId="68D2BC2F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2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、有独立的消毒区域，配备合理消毒用品与设施。提供相关资料。</w:t>
      </w:r>
    </w:p>
    <w:p w14:paraId="778A4511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  <w:t>七、产品包装</w:t>
      </w:r>
    </w:p>
    <w:p w14:paraId="0E888FE5" w14:textId="77777777" w:rsidR="00103249" w:rsidRPr="000D63DC" w:rsidRDefault="00103249" w:rsidP="00103249">
      <w:pPr>
        <w:spacing w:line="360" w:lineRule="auto"/>
        <w:ind w:firstLine="425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1、外包装贴有产品标签，载明医院名称、医生、患者的姓名、生产企业名称、义齿产品名称、型号规格（与医疗器械注册证匹配）、生产日期等信息。</w:t>
      </w:r>
      <w:proofErr w:type="gramStart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随件有</w:t>
      </w:r>
      <w:proofErr w:type="gramEnd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消毒标签、说明书、产品合格证。</w:t>
      </w:r>
    </w:p>
    <w:p w14:paraId="2804FB44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2、每工件采用独立包装，包装整洁，产品清单明晰，有运输防撞防污措施。</w:t>
      </w:r>
    </w:p>
    <w:p w14:paraId="62282695" w14:textId="77777777" w:rsidR="00103249" w:rsidRPr="000D63DC" w:rsidRDefault="00103249" w:rsidP="00103249">
      <w:pPr>
        <w:spacing w:line="360" w:lineRule="auto"/>
        <w:ind w:firstLineChars="200" w:firstLine="542"/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  <w:t>八、产品信息化要求</w:t>
      </w:r>
    </w:p>
    <w:p w14:paraId="395D1BE3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lastRenderedPageBreak/>
        <w:t>1、具备与加工有关查询统计能力，使用信息化系统管理加工过程，实现加工信息实时查询与追溯管理，提供证明文件。</w:t>
      </w:r>
    </w:p>
    <w:p w14:paraId="4403B3AC" w14:textId="77777777" w:rsidR="00103249" w:rsidRPr="000D63DC" w:rsidRDefault="00103249" w:rsidP="00103249">
      <w:pPr>
        <w:spacing w:line="360" w:lineRule="auto"/>
        <w:ind w:firstLineChars="200" w:firstLine="540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/>
          <w:color w:val="333333"/>
          <w:sz w:val="27"/>
          <w:szCs w:val="27"/>
          <w:shd w:val="clear" w:color="auto" w:fill="FFFFFF"/>
        </w:rPr>
        <w:t>2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、能配合医院电子技工单管理系统要求，进行数据匹配与软件升级，提供医院相关管理所</w:t>
      </w:r>
      <w:proofErr w:type="gramStart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需数据</w:t>
      </w:r>
      <w:proofErr w:type="gramEnd"/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与报表，提供信息服务承诺与方案。</w:t>
      </w:r>
    </w:p>
    <w:p w14:paraId="5D10B003" w14:textId="77777777" w:rsidR="00103249" w:rsidRPr="000D63DC" w:rsidRDefault="00103249" w:rsidP="00103249">
      <w:pPr>
        <w:spacing w:line="360" w:lineRule="auto"/>
        <w:ind w:firstLineChars="200" w:firstLine="542"/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</w:pPr>
      <w:r w:rsidRPr="000D63DC">
        <w:rPr>
          <w:rFonts w:ascii="仿宋" w:eastAsia="仿宋" w:hAnsi="仿宋" w:cstheme="minorBidi" w:hint="eastAsia"/>
          <w:b/>
          <w:color w:val="333333"/>
          <w:sz w:val="27"/>
          <w:szCs w:val="27"/>
          <w:shd w:val="clear" w:color="auto" w:fill="FFFFFF"/>
        </w:rPr>
        <w:t>九、政策变化：</w:t>
      </w:r>
      <w:r w:rsidRPr="000D63DC">
        <w:rPr>
          <w:rFonts w:ascii="仿宋" w:eastAsia="仿宋" w:hAnsi="仿宋" w:cstheme="minorBidi" w:hint="eastAsia"/>
          <w:color w:val="333333"/>
          <w:sz w:val="27"/>
          <w:szCs w:val="27"/>
          <w:shd w:val="clear" w:color="auto" w:fill="FFFFFF"/>
        </w:rPr>
        <w:t>政府部门要求医院执行义齿类产品相关收费、价格与采购政策的，涉及的产品按政府政策要求和医院管理要求处理。</w:t>
      </w:r>
    </w:p>
    <w:p w14:paraId="49AFFFA1" w14:textId="77777777" w:rsidR="001D777F" w:rsidRPr="00103249" w:rsidRDefault="001D777F">
      <w:pPr>
        <w:rPr>
          <w:rFonts w:hint="eastAsia"/>
        </w:rPr>
      </w:pPr>
    </w:p>
    <w:sectPr w:rsidR="001D777F" w:rsidRPr="0010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FE63" w14:textId="77777777" w:rsidR="00F072A2" w:rsidRDefault="00F072A2" w:rsidP="00103249">
      <w:pPr>
        <w:rPr>
          <w:rFonts w:hint="eastAsia"/>
        </w:rPr>
      </w:pPr>
      <w:r>
        <w:separator/>
      </w:r>
    </w:p>
  </w:endnote>
  <w:endnote w:type="continuationSeparator" w:id="0">
    <w:p w14:paraId="04B1FF47" w14:textId="77777777" w:rsidR="00F072A2" w:rsidRDefault="00F072A2" w:rsidP="001032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4C80" w14:textId="77777777" w:rsidR="00F072A2" w:rsidRDefault="00F072A2" w:rsidP="00103249">
      <w:pPr>
        <w:rPr>
          <w:rFonts w:hint="eastAsia"/>
        </w:rPr>
      </w:pPr>
      <w:r>
        <w:separator/>
      </w:r>
    </w:p>
  </w:footnote>
  <w:footnote w:type="continuationSeparator" w:id="0">
    <w:p w14:paraId="70910AB1" w14:textId="77777777" w:rsidR="00F072A2" w:rsidRDefault="00F072A2" w:rsidP="001032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C2"/>
    <w:rsid w:val="00103249"/>
    <w:rsid w:val="00144C64"/>
    <w:rsid w:val="001D777F"/>
    <w:rsid w:val="00311415"/>
    <w:rsid w:val="004C34DC"/>
    <w:rsid w:val="00762363"/>
    <w:rsid w:val="00990323"/>
    <w:rsid w:val="00ED7DC2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4EC8A8-9364-4185-B091-2F361459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24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D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D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D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D7D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D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C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ED7D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D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7DC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324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324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3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3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2025-04-14T10:17:00Z</dcterms:created>
  <dcterms:modified xsi:type="dcterms:W3CDTF">2025-04-14T10:17:00Z</dcterms:modified>
</cp:coreProperties>
</file>