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8E3A">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1F48EF45">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1D6DF1F5">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r>
        <w:rPr>
          <w:rFonts w:hint="eastAsia" w:ascii="Arial" w:hAnsi="Arial" w:eastAsia="黑体" w:cs="Times New Roman"/>
          <w:b/>
          <w:bCs/>
          <w:color w:val="auto"/>
          <w:kern w:val="0"/>
          <w:sz w:val="84"/>
          <w:szCs w:val="24"/>
          <w:highlight w:val="none"/>
        </w:rPr>
        <w:t>采　购　文　件</w:t>
      </w:r>
    </w:p>
    <w:p w14:paraId="1B1B0358">
      <w:pPr>
        <w:jc w:val="center"/>
        <w:rPr>
          <w:rFonts w:ascii="宋体" w:hAnsi="宋体" w:eastAsia="宋体" w:cs="Times New Roman"/>
          <w:b/>
          <w:bCs/>
          <w:color w:val="auto"/>
          <w:sz w:val="36"/>
          <w:szCs w:val="24"/>
          <w:highlight w:val="none"/>
        </w:rPr>
      </w:pPr>
      <w:r>
        <w:rPr>
          <w:rFonts w:hint="eastAsia" w:ascii="Times New Roman" w:hAnsi="Times New Roman" w:eastAsia="宋体" w:cs="Times New Roman"/>
          <w:b/>
          <w:bCs/>
          <w:color w:val="auto"/>
          <w:sz w:val="32"/>
          <w:szCs w:val="21"/>
          <w:highlight w:val="none"/>
        </w:rPr>
        <w:t>项目名称：南京医科大学附属口腔医院</w:t>
      </w:r>
    </w:p>
    <w:p w14:paraId="685F6B61">
      <w:pPr>
        <w:adjustRightInd w:val="0"/>
        <w:spacing w:before="120" w:after="120" w:line="360" w:lineRule="auto"/>
        <w:jc w:val="center"/>
        <w:textAlignment w:val="baseline"/>
        <w:rPr>
          <w:rFonts w:ascii="宋体" w:hAnsi="宋体" w:eastAsia="宋体" w:cs="Times New Roman"/>
          <w:b/>
          <w:bCs/>
          <w:color w:val="auto"/>
          <w:kern w:val="0"/>
          <w:sz w:val="32"/>
          <w:szCs w:val="32"/>
          <w:highlight w:val="none"/>
        </w:rPr>
      </w:pPr>
      <w:r>
        <w:rPr>
          <w:rFonts w:hint="eastAsia" w:ascii="宋体" w:hAnsi="宋体" w:eastAsia="宋体" w:cs="Times New Roman"/>
          <w:b/>
          <w:bCs/>
          <w:color w:val="auto"/>
          <w:kern w:val="0"/>
          <w:sz w:val="32"/>
          <w:szCs w:val="32"/>
          <w:highlight w:val="none"/>
        </w:rPr>
        <w:t xml:space="preserve">       院外门诊污水处理设备维保及加药服务项目</w:t>
      </w:r>
    </w:p>
    <w:p w14:paraId="5639DA22">
      <w:pPr>
        <w:adjustRightInd w:val="0"/>
        <w:spacing w:before="120" w:after="120" w:line="360" w:lineRule="auto"/>
        <w:ind w:firstLine="1911" w:firstLineChars="595"/>
        <w:textAlignment w:val="baseline"/>
        <w:rPr>
          <w:rFonts w:hint="default" w:ascii="Arial" w:hAnsi="Arial" w:eastAsia="宋体" w:cs="Times New Roman"/>
          <w:b/>
          <w:bCs/>
          <w:color w:val="auto"/>
          <w:kern w:val="0"/>
          <w:sz w:val="32"/>
          <w:szCs w:val="24"/>
          <w:highlight w:val="none"/>
          <w:lang w:val="en-US" w:eastAsia="zh-CN"/>
        </w:rPr>
      </w:pPr>
      <w:r>
        <w:rPr>
          <w:rFonts w:hint="eastAsia" w:ascii="Arial" w:hAnsi="Arial" w:eastAsia="宋体" w:cs="Times New Roman"/>
          <w:b/>
          <w:bCs/>
          <w:color w:val="auto"/>
          <w:kern w:val="0"/>
          <w:sz w:val="32"/>
          <w:szCs w:val="24"/>
          <w:highlight w:val="none"/>
        </w:rPr>
        <w:t>项目编号：</w:t>
      </w:r>
      <w:r>
        <w:rPr>
          <w:rFonts w:hint="eastAsia" w:ascii="Arial" w:hAnsi="Arial" w:eastAsia="宋体" w:cs="Times New Roman"/>
          <w:b/>
          <w:bCs/>
          <w:color w:val="auto"/>
          <w:kern w:val="0"/>
          <w:sz w:val="32"/>
          <w:szCs w:val="24"/>
          <w:highlight w:val="none"/>
          <w:lang w:val="en-US" w:eastAsia="zh-CN"/>
        </w:rPr>
        <w:t>CG202518</w:t>
      </w:r>
    </w:p>
    <w:p w14:paraId="2150DBA4">
      <w:pPr>
        <w:adjustRightInd w:val="0"/>
        <w:spacing w:line="360" w:lineRule="auto"/>
        <w:jc w:val="left"/>
        <w:textAlignment w:val="baseline"/>
        <w:rPr>
          <w:rFonts w:ascii="宋体" w:hAnsi="宋体" w:eastAsia="宋体" w:cs="Times New Roman"/>
          <w:color w:val="auto"/>
          <w:kern w:val="0"/>
          <w:sz w:val="24"/>
          <w:szCs w:val="24"/>
          <w:highlight w:val="none"/>
        </w:rPr>
      </w:pPr>
    </w:p>
    <w:p w14:paraId="6CB218EB">
      <w:pPr>
        <w:adjustRightInd w:val="0"/>
        <w:spacing w:line="360" w:lineRule="auto"/>
        <w:jc w:val="left"/>
        <w:textAlignment w:val="baseline"/>
        <w:rPr>
          <w:rFonts w:ascii="宋体" w:hAnsi="宋体" w:eastAsia="宋体" w:cs="Times New Roman"/>
          <w:color w:val="auto"/>
          <w:kern w:val="0"/>
          <w:sz w:val="24"/>
          <w:szCs w:val="24"/>
          <w:highlight w:val="none"/>
        </w:rPr>
      </w:pPr>
    </w:p>
    <w:p w14:paraId="3B5A1655">
      <w:pPr>
        <w:adjustRightInd w:val="0"/>
        <w:spacing w:line="360" w:lineRule="auto"/>
        <w:jc w:val="left"/>
        <w:textAlignment w:val="baseline"/>
        <w:rPr>
          <w:rFonts w:ascii="宋体" w:hAnsi="宋体" w:eastAsia="宋体" w:cs="Times New Roman"/>
          <w:color w:val="auto"/>
          <w:kern w:val="0"/>
          <w:sz w:val="24"/>
          <w:szCs w:val="24"/>
          <w:highlight w:val="none"/>
        </w:rPr>
      </w:pPr>
    </w:p>
    <w:p w14:paraId="3CFC4C55">
      <w:pPr>
        <w:adjustRightInd w:val="0"/>
        <w:spacing w:line="360" w:lineRule="auto"/>
        <w:jc w:val="left"/>
        <w:textAlignment w:val="baseline"/>
        <w:rPr>
          <w:rFonts w:ascii="宋体" w:hAnsi="宋体" w:eastAsia="宋体" w:cs="Times New Roman"/>
          <w:color w:val="auto"/>
          <w:kern w:val="0"/>
          <w:sz w:val="24"/>
          <w:szCs w:val="24"/>
          <w:highlight w:val="none"/>
        </w:rPr>
      </w:pPr>
    </w:p>
    <w:p w14:paraId="5563DDA9">
      <w:pPr>
        <w:adjustRightInd w:val="0"/>
        <w:spacing w:line="360" w:lineRule="auto"/>
        <w:jc w:val="left"/>
        <w:textAlignment w:val="baseline"/>
        <w:rPr>
          <w:rFonts w:ascii="宋体" w:hAnsi="宋体" w:eastAsia="宋体" w:cs="Times New Roman"/>
          <w:color w:val="auto"/>
          <w:kern w:val="0"/>
          <w:sz w:val="24"/>
          <w:szCs w:val="24"/>
          <w:highlight w:val="none"/>
        </w:rPr>
      </w:pPr>
    </w:p>
    <w:p w14:paraId="6CB34E04">
      <w:pPr>
        <w:adjustRightInd w:val="0"/>
        <w:spacing w:line="360" w:lineRule="auto"/>
        <w:jc w:val="left"/>
        <w:textAlignment w:val="baseline"/>
        <w:rPr>
          <w:rFonts w:ascii="宋体" w:hAnsi="宋体" w:eastAsia="宋体" w:cs="Times New Roman"/>
          <w:color w:val="auto"/>
          <w:kern w:val="0"/>
          <w:sz w:val="24"/>
          <w:szCs w:val="24"/>
          <w:highlight w:val="none"/>
        </w:rPr>
      </w:pPr>
    </w:p>
    <w:p w14:paraId="6938EE76">
      <w:pPr>
        <w:adjustRightInd w:val="0"/>
        <w:spacing w:line="360" w:lineRule="auto"/>
        <w:jc w:val="left"/>
        <w:textAlignment w:val="baseline"/>
        <w:rPr>
          <w:rFonts w:ascii="宋体" w:hAnsi="宋体" w:eastAsia="宋体" w:cs="Times New Roman"/>
          <w:color w:val="auto"/>
          <w:kern w:val="0"/>
          <w:sz w:val="24"/>
          <w:szCs w:val="24"/>
          <w:highlight w:val="none"/>
        </w:rPr>
      </w:pPr>
    </w:p>
    <w:p w14:paraId="6970F632">
      <w:pPr>
        <w:adjustRightInd w:val="0"/>
        <w:spacing w:line="360" w:lineRule="auto"/>
        <w:jc w:val="left"/>
        <w:textAlignment w:val="baseline"/>
        <w:rPr>
          <w:rFonts w:ascii="宋体" w:hAnsi="宋体" w:eastAsia="宋体" w:cs="Times New Roman"/>
          <w:color w:val="auto"/>
          <w:kern w:val="0"/>
          <w:sz w:val="24"/>
          <w:szCs w:val="24"/>
          <w:highlight w:val="none"/>
        </w:rPr>
      </w:pPr>
    </w:p>
    <w:p w14:paraId="7720C8D0">
      <w:pPr>
        <w:adjustRightInd w:val="0"/>
        <w:spacing w:line="360" w:lineRule="auto"/>
        <w:jc w:val="left"/>
        <w:textAlignment w:val="baseline"/>
        <w:rPr>
          <w:rFonts w:ascii="宋体" w:hAnsi="宋体" w:eastAsia="宋体" w:cs="Times New Roman"/>
          <w:color w:val="auto"/>
          <w:kern w:val="0"/>
          <w:sz w:val="24"/>
          <w:szCs w:val="24"/>
          <w:highlight w:val="none"/>
        </w:rPr>
      </w:pPr>
    </w:p>
    <w:p w14:paraId="7DCA67F8">
      <w:pPr>
        <w:adjustRightInd w:val="0"/>
        <w:spacing w:line="360" w:lineRule="auto"/>
        <w:jc w:val="left"/>
        <w:textAlignment w:val="baseline"/>
        <w:rPr>
          <w:rFonts w:ascii="宋体" w:hAnsi="宋体" w:eastAsia="宋体" w:cs="Times New Roman"/>
          <w:color w:val="auto"/>
          <w:kern w:val="0"/>
          <w:sz w:val="24"/>
          <w:szCs w:val="24"/>
          <w:highlight w:val="none"/>
        </w:rPr>
      </w:pPr>
    </w:p>
    <w:p w14:paraId="144704C5">
      <w:pPr>
        <w:adjustRightInd w:val="0"/>
        <w:spacing w:before="120" w:after="120" w:line="360" w:lineRule="auto"/>
        <w:jc w:val="center"/>
        <w:textAlignment w:val="baseline"/>
        <w:rPr>
          <w:rFonts w:ascii="Arial" w:hAnsi="Arial" w:eastAsia="宋体" w:cs="Times New Roman"/>
          <w:b/>
          <w:bCs/>
          <w:color w:val="auto"/>
          <w:kern w:val="0"/>
          <w:sz w:val="28"/>
          <w:szCs w:val="28"/>
          <w:highlight w:val="none"/>
        </w:rPr>
      </w:pPr>
      <w:r>
        <w:rPr>
          <w:rFonts w:hint="eastAsia" w:ascii="Arial" w:hAnsi="Arial" w:eastAsia="宋体" w:cs="Times New Roman"/>
          <w:b/>
          <w:bCs/>
          <w:color w:val="auto"/>
          <w:kern w:val="0"/>
          <w:sz w:val="28"/>
          <w:szCs w:val="28"/>
          <w:highlight w:val="none"/>
        </w:rPr>
        <w:t>南京医科大学附属口腔医院</w:t>
      </w:r>
    </w:p>
    <w:p w14:paraId="4ABF0D14">
      <w:pPr>
        <w:adjustRightInd w:val="0"/>
        <w:spacing w:before="120" w:after="120" w:line="360" w:lineRule="auto"/>
        <w:jc w:val="center"/>
        <w:textAlignment w:val="baseline"/>
        <w:rPr>
          <w:rFonts w:ascii="Arial" w:hAnsi="Arial" w:eastAsia="宋体" w:cs="Times New Roman"/>
          <w:b/>
          <w:color w:val="auto"/>
          <w:kern w:val="0"/>
          <w:sz w:val="28"/>
          <w:szCs w:val="28"/>
          <w:highlight w:val="none"/>
        </w:rPr>
      </w:pPr>
      <w:r>
        <w:rPr>
          <w:rFonts w:hint="eastAsia" w:ascii="Arial" w:hAnsi="Arial" w:eastAsia="宋体" w:cs="Times New Roman"/>
          <w:b/>
          <w:color w:val="auto"/>
          <w:kern w:val="0"/>
          <w:sz w:val="28"/>
          <w:szCs w:val="28"/>
          <w:highlight w:val="none"/>
        </w:rPr>
        <w:t>二〇二五年六月</w:t>
      </w:r>
    </w:p>
    <w:p w14:paraId="54C93CF5">
      <w:pPr>
        <w:adjustRightInd w:val="0"/>
        <w:spacing w:before="120" w:after="120" w:line="360" w:lineRule="auto"/>
        <w:jc w:val="center"/>
        <w:textAlignment w:val="baseline"/>
        <w:rPr>
          <w:rFonts w:ascii="Arial" w:hAnsi="Arial" w:eastAsia="宋体" w:cs="Times New Roman"/>
          <w:color w:val="auto"/>
          <w:kern w:val="0"/>
          <w:sz w:val="24"/>
          <w:szCs w:val="24"/>
          <w:highlight w:val="none"/>
        </w:rPr>
      </w:pPr>
    </w:p>
    <w:p w14:paraId="6B5421AA">
      <w:pPr>
        <w:spacing w:line="480" w:lineRule="auto"/>
        <w:jc w:val="center"/>
        <w:outlineLvl w:val="0"/>
        <w:rPr>
          <w:rFonts w:ascii="黑体" w:hAnsi="Arial" w:eastAsia="黑体" w:cs="Times New Roman"/>
          <w:b/>
          <w:color w:val="auto"/>
          <w:sz w:val="44"/>
          <w:szCs w:val="21"/>
          <w:highlight w:val="none"/>
        </w:rPr>
      </w:pPr>
      <w:r>
        <w:rPr>
          <w:rFonts w:ascii="Times New Roman" w:hAnsi="Times New Roman" w:eastAsia="宋体" w:cs="Times New Roman"/>
          <w:color w:val="auto"/>
          <w:szCs w:val="21"/>
          <w:highlight w:val="none"/>
        </w:rPr>
        <w:br w:type="page"/>
      </w:r>
      <w:bookmarkStart w:id="0" w:name="_Toc120614210"/>
      <w:bookmarkStart w:id="1" w:name="_Toc20823272"/>
      <w:bookmarkStart w:id="2" w:name="_Toc523127445"/>
      <w:bookmarkStart w:id="3" w:name="_Toc479757206"/>
      <w:bookmarkStart w:id="4" w:name="_Toc16938516"/>
      <w:bookmarkStart w:id="5" w:name="_Toc513029200"/>
      <w:r>
        <w:rPr>
          <w:rFonts w:hint="eastAsia" w:ascii="黑体" w:hAnsi="Arial" w:eastAsia="黑体" w:cs="Times New Roman"/>
          <w:b/>
          <w:color w:val="auto"/>
          <w:sz w:val="44"/>
          <w:szCs w:val="21"/>
          <w:highlight w:val="none"/>
        </w:rPr>
        <w:t>总  目  录</w:t>
      </w:r>
    </w:p>
    <w:p w14:paraId="0937E512">
      <w:pPr>
        <w:spacing w:line="480" w:lineRule="auto"/>
        <w:rPr>
          <w:rFonts w:ascii="仿宋_GB2312" w:hAnsi="Arial" w:eastAsia="仿宋_GB2312" w:cs="Times New Roman"/>
          <w:b/>
          <w:color w:val="auto"/>
          <w:sz w:val="28"/>
          <w:szCs w:val="21"/>
          <w:highlight w:val="none"/>
        </w:rPr>
      </w:pPr>
    </w:p>
    <w:p w14:paraId="0051D8A0">
      <w:pPr>
        <w:numPr>
          <w:ilvl w:val="0"/>
          <w:numId w:val="2"/>
        </w:numPr>
        <w:spacing w:line="480" w:lineRule="auto"/>
        <w:outlineLvl w:val="0"/>
        <w:rPr>
          <w:rFonts w:ascii="黑体" w:hAnsi="Showcard Gothic" w:eastAsia="黑体" w:cs="Times New Roman"/>
          <w:color w:val="auto"/>
          <w:sz w:val="32"/>
          <w:szCs w:val="21"/>
          <w:highlight w:val="none"/>
        </w:rPr>
      </w:pPr>
      <w:r>
        <w:rPr>
          <w:rFonts w:hint="eastAsia" w:ascii="黑体" w:hAnsi="宋体" w:eastAsia="黑体" w:cs="Times New Roman"/>
          <w:color w:val="auto"/>
          <w:sz w:val="36"/>
          <w:szCs w:val="21"/>
          <w:highlight w:val="none"/>
        </w:rPr>
        <w:t>采购邀请</w:t>
      </w:r>
      <w:r>
        <w:rPr>
          <w:rFonts w:hint="eastAsia" w:ascii="黑体" w:hAnsi="Showcard Gothic" w:eastAsia="黑体" w:cs="Times New Roman"/>
          <w:color w:val="auto"/>
          <w:sz w:val="36"/>
          <w:szCs w:val="21"/>
          <w:highlight w:val="none"/>
        </w:rPr>
        <w:t xml:space="preserve">……………………………………3 </w:t>
      </w:r>
    </w:p>
    <w:p w14:paraId="4C05295F">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响应人须知</w:t>
      </w:r>
      <w:r>
        <w:rPr>
          <w:rFonts w:hint="eastAsia" w:ascii="黑体" w:hAnsi="Showcard Gothic" w:eastAsia="黑体" w:cs="Times New Roman"/>
          <w:color w:val="auto"/>
          <w:sz w:val="36"/>
          <w:szCs w:val="36"/>
          <w:highlight w:val="none"/>
        </w:rPr>
        <w:t>…</w:t>
      </w:r>
      <w:r>
        <w:rPr>
          <w:rFonts w:hint="eastAsia" w:ascii="黑体" w:hAnsi="Showcard Gothic" w:eastAsia="黑体" w:cs="Times New Roman"/>
          <w:color w:val="auto"/>
          <w:sz w:val="36"/>
          <w:szCs w:val="21"/>
          <w:highlight w:val="none"/>
        </w:rPr>
        <w:t>………………………………5</w:t>
      </w:r>
    </w:p>
    <w:p w14:paraId="531392AF">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合同条款及格式</w:t>
      </w:r>
      <w:r>
        <w:rPr>
          <w:rFonts w:hint="eastAsia" w:ascii="黑体" w:hAnsi="Showcard Gothic" w:eastAsia="黑体" w:cs="Times New Roman"/>
          <w:color w:val="auto"/>
          <w:sz w:val="36"/>
          <w:szCs w:val="21"/>
          <w:highlight w:val="none"/>
        </w:rPr>
        <w:t>……………………………18</w:t>
      </w:r>
    </w:p>
    <w:p w14:paraId="6ACF0363">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项目需求</w:t>
      </w:r>
      <w:r>
        <w:rPr>
          <w:rFonts w:hint="eastAsia" w:ascii="黑体" w:hAnsi="Showcard Gothic" w:eastAsia="黑体" w:cs="Times New Roman"/>
          <w:color w:val="auto"/>
          <w:sz w:val="36"/>
          <w:szCs w:val="21"/>
          <w:highlight w:val="none"/>
        </w:rPr>
        <w:t>……………………………………22</w:t>
      </w:r>
    </w:p>
    <w:p w14:paraId="1A28EF12">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成交标准</w:t>
      </w:r>
      <w:r>
        <w:rPr>
          <w:rFonts w:hint="eastAsia" w:ascii="黑体" w:hAnsi="Showcard Gothic" w:eastAsia="黑体" w:cs="Times New Roman"/>
          <w:color w:val="auto"/>
          <w:sz w:val="36"/>
          <w:szCs w:val="21"/>
          <w:highlight w:val="none"/>
        </w:rPr>
        <w:t>…………………………………26</w:t>
      </w:r>
    </w:p>
    <w:p w14:paraId="2A937B02">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采购文件格式</w:t>
      </w:r>
      <w:r>
        <w:rPr>
          <w:rFonts w:hint="eastAsia" w:ascii="黑体" w:hAnsi="Showcard Gothic" w:eastAsia="黑体" w:cs="Times New Roman"/>
          <w:color w:val="auto"/>
          <w:sz w:val="36"/>
          <w:szCs w:val="21"/>
          <w:highlight w:val="none"/>
        </w:rPr>
        <w:t>………………………………29</w:t>
      </w:r>
    </w:p>
    <w:p w14:paraId="264E0CED">
      <w:pPr>
        <w:spacing w:line="480" w:lineRule="auto"/>
        <w:jc w:val="center"/>
        <w:outlineLvl w:val="0"/>
        <w:rPr>
          <w:rFonts w:ascii="Times New Roman" w:hAnsi="Times New Roman" w:eastAsia="宋体" w:cs="Times New Roman"/>
          <w:color w:val="auto"/>
          <w:szCs w:val="21"/>
          <w:highlight w:val="none"/>
        </w:rPr>
      </w:pPr>
    </w:p>
    <w:p w14:paraId="63876FAE">
      <w:pPr>
        <w:rPr>
          <w:rFonts w:ascii="Times New Roman" w:hAnsi="Times New Roman" w:eastAsia="宋体" w:cs="Times New Roman"/>
          <w:color w:val="auto"/>
          <w:szCs w:val="21"/>
          <w:highlight w:val="none"/>
        </w:rPr>
      </w:pPr>
    </w:p>
    <w:p w14:paraId="4DE417D2">
      <w:pPr>
        <w:rPr>
          <w:rFonts w:ascii="Times New Roman" w:hAnsi="Times New Roman" w:eastAsia="宋体" w:cs="Times New Roman"/>
          <w:color w:val="auto"/>
          <w:szCs w:val="21"/>
          <w:highlight w:val="none"/>
        </w:rPr>
      </w:pPr>
    </w:p>
    <w:p w14:paraId="60DA82DA">
      <w:pPr>
        <w:rPr>
          <w:rFonts w:ascii="Times New Roman" w:hAnsi="Times New Roman" w:eastAsia="宋体" w:cs="Times New Roman"/>
          <w:color w:val="auto"/>
          <w:szCs w:val="21"/>
          <w:highlight w:val="none"/>
        </w:rPr>
      </w:pPr>
    </w:p>
    <w:p w14:paraId="2E6500B7">
      <w:pPr>
        <w:rPr>
          <w:rFonts w:ascii="Times New Roman" w:hAnsi="Times New Roman" w:eastAsia="宋体" w:cs="Times New Roman"/>
          <w:color w:val="auto"/>
          <w:szCs w:val="21"/>
          <w:highlight w:val="none"/>
        </w:rPr>
      </w:pPr>
    </w:p>
    <w:p w14:paraId="04B9D420">
      <w:pPr>
        <w:rPr>
          <w:rFonts w:ascii="Times New Roman" w:hAnsi="Times New Roman" w:eastAsia="宋体" w:cs="Times New Roman"/>
          <w:color w:val="auto"/>
          <w:szCs w:val="21"/>
          <w:highlight w:val="none"/>
        </w:rPr>
      </w:pPr>
    </w:p>
    <w:p w14:paraId="14199E5B">
      <w:pPr>
        <w:rPr>
          <w:rFonts w:ascii="Times New Roman" w:hAnsi="Times New Roman" w:eastAsia="宋体" w:cs="Times New Roman"/>
          <w:color w:val="auto"/>
          <w:szCs w:val="21"/>
          <w:highlight w:val="none"/>
        </w:rPr>
      </w:pPr>
    </w:p>
    <w:p w14:paraId="06F053AD">
      <w:pPr>
        <w:rPr>
          <w:rFonts w:ascii="Times New Roman" w:hAnsi="Times New Roman" w:eastAsia="宋体" w:cs="Times New Roman"/>
          <w:color w:val="auto"/>
          <w:szCs w:val="21"/>
          <w:highlight w:val="none"/>
        </w:rPr>
      </w:pPr>
    </w:p>
    <w:p w14:paraId="31ED3D70">
      <w:pPr>
        <w:rPr>
          <w:rFonts w:ascii="Times New Roman" w:hAnsi="Times New Roman" w:eastAsia="宋体" w:cs="Times New Roman"/>
          <w:color w:val="auto"/>
          <w:szCs w:val="21"/>
          <w:highlight w:val="none"/>
        </w:rPr>
      </w:pPr>
    </w:p>
    <w:p w14:paraId="4F62665E">
      <w:pPr>
        <w:rPr>
          <w:rFonts w:ascii="Times New Roman" w:hAnsi="Times New Roman" w:eastAsia="宋体" w:cs="Times New Roman"/>
          <w:color w:val="auto"/>
          <w:szCs w:val="21"/>
          <w:highlight w:val="none"/>
        </w:rPr>
      </w:pPr>
    </w:p>
    <w:p w14:paraId="66D94A7A">
      <w:pPr>
        <w:rPr>
          <w:rFonts w:ascii="Times New Roman" w:hAnsi="Times New Roman" w:eastAsia="宋体" w:cs="Times New Roman"/>
          <w:color w:val="auto"/>
          <w:szCs w:val="21"/>
          <w:highlight w:val="none"/>
        </w:rPr>
      </w:pPr>
    </w:p>
    <w:p w14:paraId="0A780FE4">
      <w:pPr>
        <w:rPr>
          <w:rFonts w:ascii="Times New Roman" w:hAnsi="Times New Roman" w:eastAsia="宋体" w:cs="Times New Roman"/>
          <w:color w:val="auto"/>
          <w:szCs w:val="21"/>
          <w:highlight w:val="none"/>
        </w:rPr>
      </w:pPr>
    </w:p>
    <w:p w14:paraId="796A1F9F">
      <w:pPr>
        <w:rPr>
          <w:rFonts w:ascii="Times New Roman" w:hAnsi="Times New Roman" w:eastAsia="宋体" w:cs="Times New Roman"/>
          <w:color w:val="auto"/>
          <w:szCs w:val="21"/>
          <w:highlight w:val="none"/>
        </w:rPr>
      </w:pPr>
    </w:p>
    <w:p w14:paraId="48F75845">
      <w:pPr>
        <w:rPr>
          <w:rFonts w:ascii="Times New Roman" w:hAnsi="Times New Roman" w:eastAsia="宋体" w:cs="Times New Roman"/>
          <w:color w:val="auto"/>
          <w:szCs w:val="21"/>
          <w:highlight w:val="none"/>
        </w:rPr>
      </w:pPr>
    </w:p>
    <w:p w14:paraId="28337DB7">
      <w:pPr>
        <w:rPr>
          <w:rFonts w:ascii="Times New Roman" w:hAnsi="Times New Roman" w:eastAsia="宋体" w:cs="Times New Roman"/>
          <w:color w:val="auto"/>
          <w:szCs w:val="21"/>
          <w:highlight w:val="none"/>
        </w:rPr>
      </w:pPr>
    </w:p>
    <w:p w14:paraId="490E9357">
      <w:pPr>
        <w:rPr>
          <w:rFonts w:ascii="Times New Roman" w:hAnsi="Times New Roman" w:eastAsia="宋体" w:cs="Times New Roman"/>
          <w:color w:val="auto"/>
          <w:szCs w:val="21"/>
          <w:highlight w:val="none"/>
        </w:rPr>
      </w:pPr>
    </w:p>
    <w:p w14:paraId="376A9772">
      <w:pPr>
        <w:rPr>
          <w:rFonts w:ascii="Times New Roman" w:hAnsi="Times New Roman" w:eastAsia="宋体" w:cs="Times New Roman"/>
          <w:color w:val="auto"/>
          <w:szCs w:val="21"/>
          <w:highlight w:val="none"/>
        </w:rPr>
      </w:pPr>
    </w:p>
    <w:p w14:paraId="1E69E88A">
      <w:pPr>
        <w:rPr>
          <w:rFonts w:ascii="Times New Roman" w:hAnsi="Times New Roman" w:eastAsia="宋体" w:cs="Times New Roman"/>
          <w:color w:val="auto"/>
          <w:szCs w:val="21"/>
          <w:highlight w:val="none"/>
        </w:rPr>
      </w:pPr>
    </w:p>
    <w:p w14:paraId="63C182D0">
      <w:pPr>
        <w:rPr>
          <w:rFonts w:ascii="Times New Roman" w:hAnsi="Times New Roman" w:eastAsia="宋体" w:cs="Times New Roman"/>
          <w:color w:val="auto"/>
          <w:szCs w:val="21"/>
          <w:highlight w:val="none"/>
        </w:rPr>
      </w:pPr>
    </w:p>
    <w:p w14:paraId="2CF4A6E5">
      <w:pPr>
        <w:rPr>
          <w:rFonts w:ascii="Times New Roman" w:hAnsi="Times New Roman" w:eastAsia="宋体" w:cs="Times New Roman"/>
          <w:color w:val="auto"/>
          <w:szCs w:val="21"/>
          <w:highlight w:val="none"/>
        </w:rPr>
      </w:pPr>
    </w:p>
    <w:p w14:paraId="443A4549">
      <w:pPr>
        <w:rPr>
          <w:rFonts w:ascii="Times New Roman" w:hAnsi="Times New Roman" w:eastAsia="宋体" w:cs="Times New Roman"/>
          <w:color w:val="auto"/>
          <w:szCs w:val="21"/>
          <w:highlight w:val="none"/>
        </w:rPr>
      </w:pPr>
    </w:p>
    <w:p w14:paraId="43788FD4">
      <w:pPr>
        <w:rPr>
          <w:rFonts w:ascii="Times New Roman" w:hAnsi="Times New Roman" w:eastAsia="宋体" w:cs="Times New Roman"/>
          <w:color w:val="auto"/>
          <w:szCs w:val="21"/>
          <w:highlight w:val="none"/>
        </w:rPr>
      </w:pPr>
    </w:p>
    <w:p w14:paraId="4BB66867">
      <w:pPr>
        <w:rPr>
          <w:rFonts w:ascii="Times New Roman" w:hAnsi="Times New Roman" w:eastAsia="宋体" w:cs="Times New Roman"/>
          <w:color w:val="auto"/>
          <w:szCs w:val="21"/>
          <w:highlight w:val="none"/>
        </w:rPr>
      </w:pPr>
    </w:p>
    <w:p w14:paraId="15D53FCE">
      <w:pPr>
        <w:rPr>
          <w:rFonts w:ascii="Times New Roman" w:hAnsi="Times New Roman" w:eastAsia="宋体" w:cs="Times New Roman"/>
          <w:color w:val="auto"/>
          <w:szCs w:val="21"/>
          <w:highlight w:val="none"/>
        </w:rPr>
      </w:pPr>
    </w:p>
    <w:bookmarkEnd w:id="0"/>
    <w:p w14:paraId="74ECD3DC">
      <w:pPr>
        <w:keepNext/>
        <w:jc w:val="center"/>
        <w:outlineLvl w:val="0"/>
        <w:rPr>
          <w:rFonts w:ascii="黑体" w:hAnsi="Times New Roman" w:eastAsia="黑体" w:cs="Times New Roman"/>
          <w:bCs/>
          <w:color w:val="auto"/>
          <w:sz w:val="44"/>
          <w:szCs w:val="44"/>
          <w:highlight w:val="none"/>
        </w:rPr>
      </w:pPr>
      <w:r>
        <w:rPr>
          <w:rFonts w:hint="eastAsia" w:ascii="黑体" w:hAnsi="Times New Roman" w:eastAsia="黑体" w:cs="Times New Roman"/>
          <w:color w:val="auto"/>
          <w:sz w:val="44"/>
          <w:szCs w:val="44"/>
          <w:highlight w:val="none"/>
        </w:rPr>
        <w:t>第一章  采购邀请</w:t>
      </w:r>
    </w:p>
    <w:p w14:paraId="7AF6D293">
      <w:pPr>
        <w:snapToGrid w:val="0"/>
        <w:spacing w:before="120" w:beforeLines="50" w:line="360" w:lineRule="auto"/>
        <w:ind w:firstLine="480" w:firstLineChars="200"/>
        <w:rPr>
          <w:rFonts w:ascii="宋体" w:hAnsi="宋体" w:eastAsia="宋体" w:cs="Times New Roman"/>
          <w:color w:val="auto"/>
          <w:szCs w:val="21"/>
          <w:highlight w:val="none"/>
        </w:rPr>
      </w:pPr>
      <w:r>
        <w:rPr>
          <w:rFonts w:hint="eastAsia" w:ascii="宋体" w:hAnsi="宋体" w:eastAsia="宋体" w:cs="Times New Roman"/>
          <w:bCs/>
          <w:color w:val="auto"/>
          <w:sz w:val="24"/>
          <w:szCs w:val="21"/>
          <w:highlight w:val="none"/>
        </w:rPr>
        <w:t>南京医科大学附属口腔医院就本院后勤保障部所需的服务进行公开采购，现欢迎符合条件的合格供应商参与。</w:t>
      </w:r>
    </w:p>
    <w:p w14:paraId="26AA2396">
      <w:pPr>
        <w:snapToGrid w:val="0"/>
        <w:spacing w:before="120" w:beforeLines="50" w:line="360" w:lineRule="auto"/>
        <w:ind w:firstLine="545" w:firstLineChars="226"/>
        <w:rPr>
          <w:rFonts w:hint="default" w:ascii="宋体" w:hAnsi="宋体" w:eastAsia="宋体" w:cs="Times New Roman"/>
          <w:color w:val="auto"/>
          <w:szCs w:val="21"/>
          <w:highlight w:val="none"/>
          <w:lang w:val="en-US" w:eastAsia="zh-CN"/>
        </w:rPr>
      </w:pPr>
      <w:r>
        <w:rPr>
          <w:rFonts w:hint="eastAsia" w:ascii="宋体" w:hAnsi="宋体" w:eastAsia="宋体" w:cs="Times New Roman"/>
          <w:b/>
          <w:bCs/>
          <w:color w:val="auto"/>
          <w:sz w:val="24"/>
          <w:szCs w:val="21"/>
          <w:highlight w:val="none"/>
        </w:rPr>
        <w:t>一、采购项目编号</w:t>
      </w:r>
      <w:r>
        <w:rPr>
          <w:rFonts w:hint="eastAsia" w:ascii="宋体" w:hAnsi="宋体" w:eastAsia="宋体" w:cs="Times New Roman"/>
          <w:color w:val="auto"/>
          <w:sz w:val="24"/>
          <w:szCs w:val="21"/>
          <w:highlight w:val="none"/>
        </w:rPr>
        <w:t>：</w:t>
      </w:r>
      <w:r>
        <w:rPr>
          <w:rFonts w:hint="eastAsia" w:ascii="宋体" w:hAnsi="宋体" w:eastAsia="宋体" w:cs="Times New Roman"/>
          <w:color w:val="auto"/>
          <w:sz w:val="24"/>
          <w:szCs w:val="21"/>
          <w:highlight w:val="none"/>
          <w:lang w:val="en-US" w:eastAsia="zh-CN"/>
        </w:rPr>
        <w:t>CG202518</w:t>
      </w:r>
    </w:p>
    <w:p w14:paraId="656ECF98">
      <w:pPr>
        <w:widowControl/>
        <w:adjustRightInd w:val="0"/>
        <w:snapToGrid w:val="0"/>
        <w:spacing w:before="48" w:beforeLines="20"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二、采购项目名称及预算金额</w:t>
      </w:r>
    </w:p>
    <w:p w14:paraId="6DF14215">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1、项目名称：</w:t>
      </w:r>
      <w:r>
        <w:rPr>
          <w:rFonts w:hint="eastAsia" w:ascii="宋体" w:hAnsi="宋体" w:eastAsia="宋体" w:cs="Times New Roman"/>
          <w:bCs/>
          <w:color w:val="auto"/>
          <w:sz w:val="24"/>
          <w:szCs w:val="21"/>
          <w:highlight w:val="none"/>
        </w:rPr>
        <w:t>南京医科大学附属口腔医院</w:t>
      </w:r>
      <w:r>
        <w:rPr>
          <w:rFonts w:hint="eastAsia" w:ascii="宋体" w:hAnsi="宋体" w:eastAsia="宋体" w:cs="宋体"/>
          <w:bCs/>
          <w:color w:val="auto"/>
          <w:kern w:val="0"/>
          <w:sz w:val="24"/>
          <w:szCs w:val="24"/>
          <w:highlight w:val="none"/>
        </w:rPr>
        <w:t>院外门诊污水处理设备维保及加药服务</w:t>
      </w:r>
    </w:p>
    <w:p w14:paraId="5BB390B2">
      <w:pPr>
        <w:widowControl/>
        <w:adjustRightInd w:val="0"/>
        <w:snapToGrid w:val="0"/>
        <w:spacing w:before="48" w:beforeLines="20"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2、本项目采购预算</w:t>
      </w:r>
      <w:bookmarkStart w:id="6" w:name="OLE_LINK1"/>
      <w:bookmarkStart w:id="7" w:name="OLE_LINK2"/>
      <w:r>
        <w:rPr>
          <w:rFonts w:hint="eastAsia" w:ascii="宋体" w:hAnsi="宋体" w:eastAsia="宋体" w:cs="宋体"/>
          <w:bCs/>
          <w:color w:val="auto"/>
          <w:kern w:val="0"/>
          <w:sz w:val="24"/>
          <w:szCs w:val="24"/>
          <w:highlight w:val="none"/>
        </w:rPr>
        <w:t>为</w:t>
      </w:r>
      <w:r>
        <w:rPr>
          <w:rFonts w:hint="eastAsia" w:ascii="宋体" w:hAnsi="宋体" w:eastAsia="宋体" w:cs="宋体"/>
          <w:bCs/>
          <w:color w:val="auto"/>
          <w:kern w:val="0"/>
          <w:sz w:val="24"/>
          <w:szCs w:val="24"/>
          <w:highlight w:val="none"/>
          <w:u w:val="single"/>
        </w:rPr>
        <w:t xml:space="preserve"> 15</w:t>
      </w:r>
      <w:r>
        <w:rPr>
          <w:rFonts w:hint="eastAsia" w:ascii="宋体" w:hAnsi="宋体" w:eastAsia="宋体" w:cs="宋体"/>
          <w:bCs/>
          <w:color w:val="auto"/>
          <w:kern w:val="0"/>
          <w:sz w:val="24"/>
          <w:szCs w:val="24"/>
          <w:highlight w:val="none"/>
        </w:rPr>
        <w:t>万</w:t>
      </w:r>
      <w:bookmarkEnd w:id="6"/>
      <w:bookmarkEnd w:id="7"/>
      <w:r>
        <w:rPr>
          <w:rFonts w:hint="eastAsia" w:ascii="宋体" w:hAnsi="宋体" w:eastAsia="宋体" w:cs="宋体"/>
          <w:bCs/>
          <w:color w:val="auto"/>
          <w:kern w:val="0"/>
          <w:sz w:val="24"/>
          <w:szCs w:val="24"/>
          <w:highlight w:val="none"/>
        </w:rPr>
        <w:t>元/年</w:t>
      </w:r>
    </w:p>
    <w:p w14:paraId="43811652">
      <w:pPr>
        <w:pStyle w:val="2"/>
        <w:rPr>
          <w:color w:val="auto"/>
          <w:highlight w:val="none"/>
        </w:rPr>
      </w:pPr>
      <w:r>
        <w:rPr>
          <w:rFonts w:hint="eastAsia" w:ascii="宋体" w:hAnsi="宋体" w:eastAsia="宋体" w:cs="宋体"/>
          <w:b/>
          <w:bCs/>
          <w:i/>
          <w:iCs/>
          <w:color w:val="auto"/>
          <w:kern w:val="0"/>
          <w:sz w:val="24"/>
          <w:szCs w:val="24"/>
          <w:highlight w:val="none"/>
          <w:u w:val="single"/>
        </w:rPr>
        <w:t>报价超过采购预算价的，视为无效响应。</w:t>
      </w:r>
    </w:p>
    <w:p w14:paraId="7DEA1863">
      <w:pPr>
        <w:widowControl/>
        <w:adjustRightInd w:val="0"/>
        <w:snapToGrid w:val="0"/>
        <w:spacing w:before="48" w:beforeLines="20" w:line="360" w:lineRule="auto"/>
        <w:ind w:firstLine="480" w:firstLineChars="200"/>
        <w:rPr>
          <w:rFonts w:ascii="宋体" w:hAnsi="宋体" w:eastAsia="宋体" w:cs="Courier New"/>
          <w:color w:val="auto"/>
          <w:sz w:val="24"/>
          <w:szCs w:val="24"/>
          <w:highlight w:val="none"/>
        </w:rPr>
      </w:pPr>
      <w:r>
        <w:rPr>
          <w:rFonts w:hint="eastAsia" w:ascii="宋体" w:hAnsi="宋体" w:eastAsia="宋体" w:cs="宋体"/>
          <w:bCs/>
          <w:color w:val="auto"/>
          <w:kern w:val="0"/>
          <w:sz w:val="24"/>
          <w:szCs w:val="24"/>
          <w:highlight w:val="none"/>
        </w:rPr>
        <w:t>3、项目地点：</w:t>
      </w:r>
      <w:r>
        <w:rPr>
          <w:rFonts w:hint="eastAsia" w:ascii="宋体" w:hAnsi="宋体" w:eastAsia="宋体" w:cs="Courier New"/>
          <w:color w:val="auto"/>
          <w:sz w:val="24"/>
          <w:szCs w:val="24"/>
          <w:highlight w:val="none"/>
        </w:rPr>
        <w:t>院外门诊部</w:t>
      </w:r>
    </w:p>
    <w:p w14:paraId="4B6008BE">
      <w:pPr>
        <w:widowControl/>
        <w:adjustRightInd w:val="0"/>
        <w:snapToGrid w:val="0"/>
        <w:spacing w:before="48" w:beforeLines="20" w:line="360" w:lineRule="auto"/>
        <w:ind w:firstLine="480" w:firstLineChars="200"/>
        <w:rPr>
          <w:rFonts w:ascii="宋体" w:hAnsi="宋体" w:eastAsia="宋体" w:cs="Times New Roman"/>
          <w:b/>
          <w:bCs/>
          <w:color w:val="auto"/>
          <w:sz w:val="24"/>
          <w:szCs w:val="21"/>
          <w:highlight w:val="none"/>
        </w:rPr>
      </w:pPr>
      <w:r>
        <w:rPr>
          <w:rFonts w:hint="eastAsia" w:ascii="宋体" w:hAnsi="宋体" w:eastAsia="宋体" w:cs="宋体"/>
          <w:bCs/>
          <w:color w:val="auto"/>
          <w:kern w:val="0"/>
          <w:sz w:val="24"/>
          <w:szCs w:val="24"/>
          <w:highlight w:val="none"/>
        </w:rPr>
        <w:t>4、服务期：三年，2025年</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 xml:space="preserve"> 月 </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 xml:space="preserve">日至2028年 </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 xml:space="preserve"> 月</w:t>
      </w:r>
      <w:r>
        <w:rPr>
          <w:rFonts w:hint="eastAsia" w:ascii="宋体" w:hAnsi="宋体" w:eastAsia="宋体" w:cs="宋体"/>
          <w:bCs/>
          <w:color w:val="auto"/>
          <w:kern w:val="0"/>
          <w:sz w:val="24"/>
          <w:szCs w:val="24"/>
          <w:highlight w:val="none"/>
          <w:lang w:val="en-US" w:eastAsia="zh-CN"/>
        </w:rPr>
        <w:t>31</w:t>
      </w:r>
      <w:r>
        <w:rPr>
          <w:rFonts w:hint="eastAsia" w:ascii="宋体" w:hAnsi="宋体" w:eastAsia="宋体" w:cs="宋体"/>
          <w:bCs/>
          <w:color w:val="auto"/>
          <w:kern w:val="0"/>
          <w:sz w:val="24"/>
          <w:szCs w:val="24"/>
          <w:highlight w:val="none"/>
        </w:rPr>
        <w:t>日，合同一年一签</w:t>
      </w:r>
    </w:p>
    <w:p w14:paraId="614470AE">
      <w:pPr>
        <w:tabs>
          <w:tab w:val="left" w:pos="900"/>
        </w:tabs>
        <w:snapToGrid w:val="0"/>
        <w:spacing w:line="360" w:lineRule="auto"/>
        <w:ind w:left="42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三、供应商资信要求</w:t>
      </w:r>
    </w:p>
    <w:p w14:paraId="7CC91B80">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（一）供应商须提供下列材料：</w:t>
      </w:r>
    </w:p>
    <w:p w14:paraId="40FA49CA">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Times New Roman"/>
          <w:bCs/>
          <w:color w:val="auto"/>
          <w:sz w:val="24"/>
          <w:szCs w:val="21"/>
          <w:highlight w:val="none"/>
        </w:rPr>
        <w:t>1、</w:t>
      </w:r>
      <w:r>
        <w:rPr>
          <w:rFonts w:ascii="宋体" w:hAnsi="宋体" w:eastAsia="宋体" w:cs="Times New Roman"/>
          <w:bCs/>
          <w:color w:val="auto"/>
          <w:sz w:val="24"/>
          <w:szCs w:val="21"/>
          <w:highlight w:val="none"/>
        </w:rPr>
        <w:t>法人或者其他组织的营业执照等证明文件</w:t>
      </w:r>
      <w:r>
        <w:rPr>
          <w:rFonts w:hint="eastAsia" w:ascii="宋体" w:hAnsi="宋体" w:eastAsia="宋体" w:cs="宋体"/>
          <w:color w:val="auto"/>
          <w:kern w:val="0"/>
          <w:sz w:val="24"/>
          <w:szCs w:val="24"/>
          <w:highlight w:val="none"/>
        </w:rPr>
        <w:t>（复印件）</w:t>
      </w:r>
      <w:r>
        <w:rPr>
          <w:rFonts w:ascii="宋体" w:hAnsi="宋体" w:eastAsia="宋体" w:cs="Times New Roman"/>
          <w:bCs/>
          <w:color w:val="auto"/>
          <w:sz w:val="24"/>
          <w:szCs w:val="21"/>
          <w:highlight w:val="none"/>
        </w:rPr>
        <w:t>；</w:t>
      </w:r>
    </w:p>
    <w:p w14:paraId="7B8A1E9C">
      <w:pPr>
        <w:spacing w:line="360" w:lineRule="auto"/>
        <w:ind w:left="480" w:hanging="480" w:hangingChars="200"/>
        <w:rPr>
          <w:rFonts w:ascii="Calibri" w:hAnsi="Calibri" w:eastAsia="宋体" w:cs="宋体"/>
          <w:color w:val="auto"/>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宋体"/>
          <w:color w:val="auto"/>
          <w:kern w:val="0"/>
          <w:sz w:val="24"/>
          <w:szCs w:val="24"/>
          <w:highlight w:val="none"/>
        </w:rPr>
        <w:t>2、2022或2024年度的</w:t>
      </w:r>
      <w:r>
        <w:rPr>
          <w:rFonts w:ascii="宋体" w:hAnsi="宋体" w:eastAsia="宋体" w:cs="宋体"/>
          <w:color w:val="auto"/>
          <w:kern w:val="0"/>
          <w:sz w:val="24"/>
          <w:szCs w:val="24"/>
          <w:highlight w:val="none"/>
        </w:rPr>
        <w:t>财务状况报告</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依法缴纳税收</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社会保障资金的相关材料</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sz w:val="24"/>
          <w:szCs w:val="24"/>
          <w:highlight w:val="none"/>
        </w:rPr>
        <w:t>成立不满一年无需提供；</w:t>
      </w:r>
      <w:r>
        <w:rPr>
          <w:rFonts w:hint="eastAsia" w:ascii="宋体" w:hAnsi="宋体" w:eastAsia="宋体" w:cs="宋体"/>
          <w:color w:val="auto"/>
          <w:kern w:val="0"/>
          <w:sz w:val="24"/>
          <w:szCs w:val="24"/>
          <w:highlight w:val="none"/>
        </w:rPr>
        <w:t>投标人依法享受缓缴、免缴税收或社会保障资金的，须提供有效证明材料。）；</w:t>
      </w:r>
    </w:p>
    <w:p w14:paraId="4F7F118D">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olor w:val="auto"/>
          <w:sz w:val="24"/>
          <w:highlight w:val="none"/>
        </w:rPr>
        <w:t>提供具有履行合同所必需的设备和专业技术能力的证明材料或承诺书并加盖</w:t>
      </w:r>
      <w:r>
        <w:rPr>
          <w:rFonts w:ascii="宋体" w:hAnsi="宋体"/>
          <w:color w:val="auto"/>
          <w:sz w:val="24"/>
          <w:highlight w:val="none"/>
        </w:rPr>
        <w:t>公章</w:t>
      </w:r>
      <w:r>
        <w:rPr>
          <w:rFonts w:hint="eastAsia" w:ascii="宋体" w:hAnsi="宋体" w:eastAsia="宋体" w:cs="宋体"/>
          <w:color w:val="auto"/>
          <w:kern w:val="0"/>
          <w:sz w:val="24"/>
          <w:szCs w:val="24"/>
          <w:highlight w:val="none"/>
        </w:rPr>
        <w:t>；</w:t>
      </w:r>
    </w:p>
    <w:p w14:paraId="52F47743">
      <w:pPr>
        <w:spacing w:line="360" w:lineRule="auto"/>
        <w:ind w:left="420" w:leftChars="200" w:firstLine="600" w:firstLineChars="250"/>
        <w:rPr>
          <w:rFonts w:ascii="Calibri" w:hAnsi="Calibri" w:eastAsia="宋体" w:cs="宋体"/>
          <w:color w:val="auto"/>
          <w:szCs w:val="21"/>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参加采购活动前3年内在经营活动中没有重大违法记录的书面声明</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提供承诺书原件</w:t>
      </w:r>
      <w:r>
        <w:rPr>
          <w:rFonts w:hint="eastAsia" w:ascii="宋体" w:hAnsi="宋体" w:eastAsia="宋体" w:cs="宋体"/>
          <w:color w:val="auto"/>
          <w:kern w:val="0"/>
          <w:sz w:val="24"/>
          <w:szCs w:val="24"/>
          <w:highlight w:val="none"/>
        </w:rPr>
        <w:t>，格式见后）</w:t>
      </w:r>
    </w:p>
    <w:p w14:paraId="1DF526E9">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（二）其他资格要求：</w:t>
      </w:r>
    </w:p>
    <w:p w14:paraId="60534CF0">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1、授权委托书原件。</w:t>
      </w:r>
    </w:p>
    <w:p w14:paraId="7ED6DB1E">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2、被授权委托人员的身份证（复印件）。</w:t>
      </w:r>
    </w:p>
    <w:p w14:paraId="1B87550C">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3、未被“信用中国”网站（www.creditchina.gov.cn）列入失信被执行人、重大税收违法案件当事人名单、政府采购严重失信行为记录名单，查询结果网页打印件。</w:t>
      </w:r>
    </w:p>
    <w:p w14:paraId="23AA85F2">
      <w:pPr>
        <w:spacing w:line="360" w:lineRule="auto"/>
        <w:ind w:firstLine="960" w:firstLineChars="4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4、本项目的特定资格要求：无。</w:t>
      </w:r>
    </w:p>
    <w:p w14:paraId="43648108">
      <w:pPr>
        <w:spacing w:line="360" w:lineRule="auto"/>
        <w:ind w:firstLine="964" w:firstLineChars="4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注：以上资质材料均需加盖公章。</w:t>
      </w:r>
    </w:p>
    <w:p w14:paraId="438AD1E1">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（三）</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ascii="仿宋_GB2312" w:hAnsi="宋体" w:eastAsia="宋体" w:cs="Arial"/>
          <w:color w:val="auto"/>
          <w:sz w:val="24"/>
          <w:szCs w:val="21"/>
          <w:highlight w:val="none"/>
        </w:rPr>
        <w:t>联合体响应</w:t>
      </w:r>
      <w:r>
        <w:rPr>
          <w:rFonts w:hint="eastAsia" w:ascii="仿宋_GB2312" w:hAnsi="宋体" w:eastAsia="宋体" w:cs="Arial"/>
          <w:color w:val="auto"/>
          <w:sz w:val="24"/>
          <w:szCs w:val="21"/>
          <w:highlight w:val="none"/>
        </w:rPr>
        <w:t>。</w:t>
      </w:r>
    </w:p>
    <w:p w14:paraId="5AC62EF8">
      <w:pPr>
        <w:ind w:firstLine="480" w:firstLineChars="200"/>
        <w:rPr>
          <w:rFonts w:ascii="Calibri" w:hAnsi="Calibri" w:eastAsia="宋体" w:cs="宋体"/>
          <w:color w:val="auto"/>
          <w:szCs w:val="21"/>
          <w:highlight w:val="none"/>
        </w:rPr>
      </w:pPr>
      <w:r>
        <w:rPr>
          <w:rFonts w:hint="eastAsia" w:ascii="仿宋_GB2312" w:hAnsi="宋体" w:eastAsia="宋体" w:cs="Arial"/>
          <w:color w:val="auto"/>
          <w:sz w:val="24"/>
          <w:szCs w:val="21"/>
          <w:highlight w:val="none"/>
        </w:rPr>
        <w:t>（四）</w:t>
      </w:r>
      <w:r>
        <w:rPr>
          <w:rFonts w:hint="eastAsia" w:ascii="宋体" w:hAnsi="宋体" w:eastAsia="宋体" w:cs="宋体"/>
          <w:color w:val="auto"/>
          <w:sz w:val="24"/>
          <w:szCs w:val="24"/>
          <w:highlight w:val="none"/>
        </w:rPr>
        <w:t>自行勘察现场及答疑：本项目不统一安排勘察现场。如有需要，可自行前往。</w:t>
      </w:r>
    </w:p>
    <w:p w14:paraId="55EECAC8">
      <w:pPr>
        <w:spacing w:line="360" w:lineRule="auto"/>
        <w:ind w:firstLine="480" w:firstLineChars="200"/>
        <w:rPr>
          <w:rFonts w:ascii="仿宋_GB2312" w:hAnsi="宋体" w:eastAsia="宋体" w:cs="Arial"/>
          <w:color w:val="auto"/>
          <w:sz w:val="24"/>
          <w:szCs w:val="21"/>
          <w:highlight w:val="none"/>
        </w:rPr>
      </w:pPr>
    </w:p>
    <w:p w14:paraId="4D667143">
      <w:pPr>
        <w:snapToGrid w:val="0"/>
        <w:spacing w:line="360" w:lineRule="auto"/>
        <w:ind w:firstLine="482" w:firstLineChars="200"/>
        <w:rPr>
          <w:rFonts w:ascii="仿宋_GB2312" w:hAnsi="宋体" w:eastAsia="宋体" w:cs="Arial"/>
          <w:color w:val="auto"/>
          <w:sz w:val="24"/>
          <w:szCs w:val="21"/>
          <w:highlight w:val="none"/>
        </w:rPr>
      </w:pPr>
      <w:r>
        <w:rPr>
          <w:rFonts w:hint="eastAsia" w:ascii="宋体" w:hAnsi="宋体" w:eastAsia="宋体" w:cs="Times New Roman"/>
          <w:b/>
          <w:bCs/>
          <w:color w:val="auto"/>
          <w:sz w:val="24"/>
          <w:szCs w:val="21"/>
          <w:highlight w:val="none"/>
        </w:rPr>
        <w:t>四、</w:t>
      </w:r>
      <w:r>
        <w:rPr>
          <w:rFonts w:hint="eastAsia" w:ascii="宋体" w:hAnsi="宋体" w:eastAsia="宋体" w:cs="Times New Roman"/>
          <w:b/>
          <w:bCs/>
          <w:color w:val="auto"/>
          <w:sz w:val="24"/>
          <w:szCs w:val="24"/>
          <w:highlight w:val="none"/>
        </w:rPr>
        <w:t>采购文件提供信息</w:t>
      </w:r>
    </w:p>
    <w:p w14:paraId="2C3CF64D">
      <w:pPr>
        <w:tabs>
          <w:tab w:val="left" w:pos="900"/>
        </w:tabs>
        <w:snapToGrid w:val="0"/>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Arial"/>
          <w:color w:val="auto"/>
          <w:sz w:val="24"/>
          <w:szCs w:val="24"/>
          <w:highlight w:val="none"/>
        </w:rPr>
        <w:t>采购文件</w:t>
      </w:r>
      <w:r>
        <w:rPr>
          <w:rFonts w:hint="eastAsia" w:ascii="宋体" w:hAnsi="宋体" w:eastAsia="宋体" w:cs="Times New Roman"/>
          <w:color w:val="auto"/>
          <w:sz w:val="24"/>
          <w:szCs w:val="24"/>
          <w:highlight w:val="none"/>
        </w:rPr>
        <w:t>在</w:t>
      </w:r>
      <w:r>
        <w:rPr>
          <w:rFonts w:hint="eastAsia" w:ascii="宋体" w:hAnsi="宋体" w:eastAsia="宋体" w:cs="Arial"/>
          <w:color w:val="auto"/>
          <w:sz w:val="24"/>
          <w:szCs w:val="24"/>
          <w:highlight w:val="none"/>
        </w:rPr>
        <w:t>南京医科大学附属口腔医院网站</w:t>
      </w:r>
      <w:r>
        <w:rPr>
          <w:rFonts w:hint="eastAsia" w:ascii="宋体" w:hAnsi="宋体" w:eastAsia="宋体" w:cs="Times New Roman"/>
          <w:color w:val="auto"/>
          <w:sz w:val="24"/>
          <w:szCs w:val="24"/>
          <w:highlight w:val="none"/>
        </w:rPr>
        <w:t>免费下载，有关本次采购事项若存在变动或修改，敬请及时关注</w:t>
      </w:r>
      <w:r>
        <w:rPr>
          <w:rFonts w:hint="eastAsia" w:ascii="宋体" w:hAnsi="宋体" w:eastAsia="宋体" w:cs="Arial"/>
          <w:color w:val="auto"/>
          <w:sz w:val="24"/>
          <w:szCs w:val="24"/>
          <w:highlight w:val="none"/>
        </w:rPr>
        <w:t>南京医科大学附属口腔医院</w:t>
      </w:r>
      <w:r>
        <w:rPr>
          <w:rFonts w:hint="eastAsia" w:ascii="宋体" w:hAnsi="宋体" w:eastAsia="宋体" w:cs="Times New Roman"/>
          <w:color w:val="auto"/>
          <w:sz w:val="24"/>
          <w:szCs w:val="24"/>
          <w:highlight w:val="none"/>
        </w:rPr>
        <w:t>网站发布的信息更正公告。</w:t>
      </w:r>
    </w:p>
    <w:p w14:paraId="30B18645">
      <w:pPr>
        <w:tabs>
          <w:tab w:val="left" w:pos="900"/>
        </w:tabs>
        <w:snapToGrid w:val="0"/>
        <w:spacing w:line="360" w:lineRule="auto"/>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1"/>
          <w:highlight w:val="none"/>
        </w:rPr>
        <w:t>五、响应文件接收信息</w:t>
      </w:r>
    </w:p>
    <w:p w14:paraId="02DECB6B">
      <w:pPr>
        <w:snapToGrid w:val="0"/>
        <w:spacing w:line="360" w:lineRule="auto"/>
        <w:ind w:firstLine="480" w:firstLineChars="200"/>
        <w:rPr>
          <w:rFonts w:hint="eastAsia" w:ascii="Times New Roman" w:hAnsi="宋体" w:eastAsia="宋体" w:cs="Times New Roman"/>
          <w:color w:val="auto"/>
          <w:sz w:val="24"/>
          <w:szCs w:val="24"/>
          <w:highlight w:val="none"/>
        </w:rPr>
      </w:pPr>
      <w:r>
        <w:rPr>
          <w:rFonts w:hint="eastAsia" w:ascii="宋体" w:hAnsi="宋体" w:eastAsia="宋体" w:cs="Times New Roman"/>
          <w:color w:val="auto"/>
          <w:sz w:val="24"/>
          <w:szCs w:val="21"/>
          <w:highlight w:val="none"/>
        </w:rPr>
        <w:t>响应文件接收时间：</w:t>
      </w:r>
      <w:r>
        <w:rPr>
          <w:rFonts w:hint="eastAsia" w:ascii="Times New Roman" w:hAnsi="宋体" w:eastAsia="宋体" w:cs="Times New Roman"/>
          <w:color w:val="auto"/>
          <w:sz w:val="24"/>
          <w:szCs w:val="24"/>
          <w:highlight w:val="none"/>
        </w:rPr>
        <w:t xml:space="preserve">2025年 7月9日下午14：00--14：30 </w:t>
      </w:r>
    </w:p>
    <w:p w14:paraId="65C8669A">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响应文件接收截止时间：</w:t>
      </w:r>
      <w:r>
        <w:rPr>
          <w:rFonts w:hint="eastAsia" w:ascii="Times New Roman" w:hAnsi="宋体" w:eastAsia="宋体" w:cs="Times New Roman"/>
          <w:color w:val="auto"/>
          <w:sz w:val="24"/>
          <w:szCs w:val="24"/>
          <w:highlight w:val="none"/>
        </w:rPr>
        <w:t xml:space="preserve">2025年 7月9日下午14：30 </w:t>
      </w:r>
    </w:p>
    <w:p w14:paraId="2BA0E276">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p w14:paraId="68BA8BAA">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响应文件接收人：</w:t>
      </w:r>
      <w:r>
        <w:rPr>
          <w:rFonts w:hint="eastAsia" w:ascii="Times New Roman" w:hAnsi="宋体" w:eastAsia="宋体" w:cs="Times New Roman"/>
          <w:color w:val="auto"/>
          <w:sz w:val="24"/>
          <w:szCs w:val="24"/>
          <w:highlight w:val="none"/>
        </w:rPr>
        <w:t>李育</w:t>
      </w:r>
    </w:p>
    <w:p w14:paraId="599BA67D">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六、开标有关信息</w:t>
      </w:r>
    </w:p>
    <w:p w14:paraId="293A9E91">
      <w:pPr>
        <w:tabs>
          <w:tab w:val="left" w:pos="900"/>
        </w:tabs>
        <w:snapToGrid w:val="0"/>
        <w:spacing w:line="360" w:lineRule="auto"/>
        <w:ind w:left="420" w:leftChars="200" w:firstLine="120" w:firstLineChars="50"/>
        <w:rPr>
          <w:rFonts w:hint="eastAsia" w:ascii="Times New Roman" w:hAnsi="宋体" w:eastAsia="宋体" w:cs="Times New Roman"/>
          <w:b/>
          <w:bCs/>
          <w:color w:val="auto"/>
          <w:sz w:val="24"/>
          <w:szCs w:val="24"/>
          <w:highlight w:val="none"/>
        </w:rPr>
      </w:pPr>
      <w:r>
        <w:rPr>
          <w:rFonts w:hint="eastAsia" w:ascii="Times New Roman" w:hAnsi="宋体" w:eastAsia="宋体" w:cs="Times New Roman"/>
          <w:color w:val="auto"/>
          <w:sz w:val="24"/>
          <w:szCs w:val="24"/>
          <w:highlight w:val="none"/>
        </w:rPr>
        <w:t xml:space="preserve">开标时间：2025年 7月9日下午14：30 </w:t>
      </w:r>
    </w:p>
    <w:p w14:paraId="10D120AC">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开标地点：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bookmarkEnd w:id="1"/>
    <w:bookmarkEnd w:id="2"/>
    <w:bookmarkEnd w:id="3"/>
    <w:bookmarkEnd w:id="4"/>
    <w:bookmarkEnd w:id="5"/>
    <w:p w14:paraId="13DE9D7C">
      <w:pPr>
        <w:keepNext w:val="0"/>
        <w:keepLines w:val="0"/>
        <w:pageBreakBefore w:val="0"/>
        <w:widowControl w:val="0"/>
        <w:tabs>
          <w:tab w:val="left" w:pos="900"/>
        </w:tabs>
        <w:kinsoku/>
        <w:wordWrap/>
        <w:overflowPunct/>
        <w:topLinePunct w:val="0"/>
        <w:autoSpaceDE/>
        <w:autoSpaceDN/>
        <w:bidi w:val="0"/>
        <w:snapToGrid w:val="0"/>
        <w:spacing w:line="360" w:lineRule="auto"/>
        <w:ind w:left="420" w:leftChars="200" w:firstLine="120" w:firstLineChars="50"/>
        <w:textAlignment w:val="auto"/>
        <w:rPr>
          <w:rFonts w:ascii="宋体" w:hAnsi="宋体" w:eastAsia="宋体" w:cs="Times New Roman"/>
          <w:b/>
          <w:bCs/>
          <w:color w:val="auto"/>
          <w:sz w:val="24"/>
          <w:szCs w:val="21"/>
          <w:highlight w:val="none"/>
        </w:rPr>
      </w:pPr>
      <w:bookmarkStart w:id="8" w:name="_Hlt16619350"/>
      <w:bookmarkStart w:id="9" w:name="_Toc16938590"/>
      <w:bookmarkStart w:id="10" w:name="_Toc20823346"/>
      <w:bookmarkStart w:id="11" w:name="_Toc120614244"/>
      <w:bookmarkStart w:id="12" w:name="_Toc479757211"/>
      <w:bookmarkStart w:id="13" w:name="_Toc462564139"/>
      <w:r>
        <w:rPr>
          <w:rFonts w:hint="eastAsia" w:ascii="宋体" w:hAnsi="宋体" w:eastAsia="宋体" w:cs="Times New Roman"/>
          <w:b/>
          <w:bCs/>
          <w:color w:val="auto"/>
          <w:sz w:val="24"/>
          <w:szCs w:val="21"/>
          <w:highlight w:val="none"/>
        </w:rPr>
        <w:t>七、本次采购联系事项</w:t>
      </w:r>
    </w:p>
    <w:p w14:paraId="416F681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南京医科大学附属口腔医院采购中心</w:t>
      </w:r>
    </w:p>
    <w:p w14:paraId="19BD52B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1"/>
          <w:highlight w:val="none"/>
        </w:rPr>
        <w:t>联系人：</w:t>
      </w:r>
      <w:r>
        <w:rPr>
          <w:rFonts w:hint="eastAsia" w:ascii="Times New Roman" w:hAnsi="宋体" w:eastAsia="宋体" w:cs="Times New Roman"/>
          <w:color w:val="auto"/>
          <w:sz w:val="24"/>
          <w:szCs w:val="24"/>
          <w:highlight w:val="none"/>
        </w:rPr>
        <w:t>李</w:t>
      </w:r>
      <w:r>
        <w:rPr>
          <w:rFonts w:hint="eastAsia" w:ascii="Times New Roman" w:hAnsi="宋体" w:eastAsia="宋体" w:cs="Times New Roman"/>
          <w:color w:val="auto"/>
          <w:sz w:val="24"/>
          <w:szCs w:val="24"/>
          <w:highlight w:val="none"/>
          <w:lang w:eastAsia="zh-CN"/>
        </w:rPr>
        <w:t>老师</w:t>
      </w:r>
      <w:r>
        <w:rPr>
          <w:rFonts w:hint="eastAsia" w:ascii="宋体" w:hAnsi="宋体" w:eastAsia="宋体" w:cs="Times New Roman"/>
          <w:color w:val="auto"/>
          <w:sz w:val="24"/>
          <w:szCs w:val="21"/>
          <w:highlight w:val="none"/>
        </w:rPr>
        <w:t xml:space="preserve">           </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1"/>
          <w:highlight w:val="none"/>
        </w:rPr>
        <w:t xml:space="preserve"> 联系电话：</w:t>
      </w:r>
      <w:r>
        <w:rPr>
          <w:rFonts w:hint="eastAsia" w:ascii="Times New Roman" w:hAnsi="宋体" w:eastAsia="宋体" w:cs="Times New Roman"/>
          <w:color w:val="auto"/>
          <w:sz w:val="24"/>
          <w:szCs w:val="24"/>
          <w:highlight w:val="none"/>
        </w:rPr>
        <w:t>025-69593206</w:t>
      </w:r>
    </w:p>
    <w:p w14:paraId="258E8F9C">
      <w:pPr>
        <w:pStyle w:val="32"/>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color w:val="auto"/>
          <w:highlight w:val="none"/>
          <w:lang w:val="en-US" w:eastAsia="zh-CN"/>
        </w:rPr>
      </w:pPr>
      <w:r>
        <w:rPr>
          <w:rFonts w:hint="eastAsia" w:ascii="Times New Roman" w:hAnsi="宋体" w:eastAsia="宋体" w:cs="Times New Roman"/>
          <w:color w:val="auto"/>
          <w:sz w:val="24"/>
          <w:szCs w:val="24"/>
          <w:highlight w:val="none"/>
        </w:rPr>
        <w:t xml:space="preserve">    后勤保障部联系人：</w:t>
      </w:r>
      <w:r>
        <w:rPr>
          <w:rFonts w:hint="eastAsia" w:ascii="Times New Roman" w:hAnsi="宋体" w:eastAsia="宋体" w:cs="Times New Roman"/>
          <w:color w:val="auto"/>
          <w:sz w:val="24"/>
          <w:szCs w:val="24"/>
          <w:highlight w:val="none"/>
          <w:lang w:val="en-US" w:eastAsia="zh-CN"/>
        </w:rPr>
        <w:t>王主任</w:t>
      </w:r>
      <w:r>
        <w:rPr>
          <w:rFonts w:hint="eastAsia" w:ascii="Times New Roman" w:hAnsi="宋体" w:eastAsia="宋体" w:cs="Times New Roman"/>
          <w:color w:val="auto"/>
          <w:sz w:val="24"/>
          <w:szCs w:val="24"/>
          <w:highlight w:val="none"/>
        </w:rPr>
        <w:t xml:space="preserve">       联系电话：</w:t>
      </w:r>
      <w:r>
        <w:rPr>
          <w:rFonts w:hint="eastAsia" w:ascii="Times New Roman" w:hAnsi="宋体" w:eastAsia="宋体" w:cs="Times New Roman"/>
          <w:color w:val="auto"/>
          <w:kern w:val="2"/>
          <w:sz w:val="24"/>
          <w:szCs w:val="24"/>
          <w:highlight w:val="none"/>
          <w:lang w:val="en-US" w:eastAsia="zh-CN" w:bidi="ar-SA"/>
        </w:rPr>
        <w:t>025-69593197</w:t>
      </w:r>
    </w:p>
    <w:p w14:paraId="6877524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eastAsia="宋体" w:cs="Times New Roman"/>
          <w:color w:val="auto"/>
          <w:sz w:val="24"/>
          <w:szCs w:val="21"/>
          <w:highlight w:val="none"/>
        </w:rPr>
      </w:pPr>
      <w:r>
        <w:rPr>
          <w:rFonts w:hint="eastAsia" w:ascii="宋体" w:hAnsi="宋体" w:eastAsia="宋体" w:cs="Times New Roman"/>
          <w:b/>
          <w:bCs/>
          <w:color w:val="auto"/>
          <w:sz w:val="24"/>
          <w:szCs w:val="21"/>
          <w:highlight w:val="none"/>
        </w:rPr>
        <w:t>八、响应文件制作份数要求：</w:t>
      </w:r>
    </w:p>
    <w:p w14:paraId="373817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正本份数：1份，副本份数：</w:t>
      </w:r>
      <w:r>
        <w:rPr>
          <w:rFonts w:hint="eastAsia" w:ascii="Times New Roman" w:hAnsi="宋体" w:eastAsia="宋体" w:cs="Times New Roman"/>
          <w:color w:val="auto"/>
          <w:sz w:val="24"/>
          <w:szCs w:val="24"/>
          <w:highlight w:val="none"/>
        </w:rPr>
        <w:t>3</w:t>
      </w:r>
      <w:r>
        <w:rPr>
          <w:rFonts w:hint="eastAsia" w:ascii="宋体" w:hAnsi="宋体" w:eastAsia="宋体" w:cs="Times New Roman"/>
          <w:color w:val="auto"/>
          <w:sz w:val="24"/>
          <w:szCs w:val="21"/>
          <w:highlight w:val="none"/>
        </w:rPr>
        <w:t>份</w:t>
      </w:r>
    </w:p>
    <w:p w14:paraId="6069F290">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九、本次采购响应保证金</w:t>
      </w:r>
    </w:p>
    <w:p w14:paraId="566BD892">
      <w:pPr>
        <w:snapToGrid w:val="0"/>
        <w:spacing w:line="360" w:lineRule="auto"/>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本项目不收取保证金。</w:t>
      </w:r>
    </w:p>
    <w:p w14:paraId="21F3BC29">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十、其他</w:t>
      </w:r>
    </w:p>
    <w:p w14:paraId="7946117F">
      <w:pPr>
        <w:spacing w:line="360" w:lineRule="auto"/>
        <w:ind w:firstLine="480" w:firstLineChars="200"/>
        <w:jc w:val="left"/>
        <w:rPr>
          <w:rFonts w:ascii="宋体" w:hAnsi="宋体" w:eastAsia="宋体" w:cs="Times New Roman"/>
          <w:bCs/>
          <w:color w:val="auto"/>
          <w:sz w:val="24"/>
          <w:szCs w:val="24"/>
          <w:highlight w:val="none"/>
        </w:rPr>
      </w:pPr>
      <w:bookmarkStart w:id="14" w:name="_Toc120614211"/>
      <w:bookmarkStart w:id="15" w:name="_Toc120614221"/>
      <w:bookmarkStart w:id="16" w:name="_Toc444669970"/>
      <w:bookmarkStart w:id="17" w:name="_Toc16938558"/>
      <w:bookmarkStart w:id="18" w:name="_Toc513029242"/>
      <w:bookmarkStart w:id="19" w:name="_Toc20823314"/>
      <w:bookmarkStart w:id="20" w:name="_Toc479757207"/>
      <w:r>
        <w:rPr>
          <w:rFonts w:hint="eastAsia" w:ascii="宋体" w:hAnsi="宋体" w:eastAsia="宋体" w:cs="Times New Roman"/>
          <w:bCs/>
          <w:color w:val="auto"/>
          <w:sz w:val="24"/>
          <w:szCs w:val="24"/>
          <w:highlight w:val="none"/>
        </w:rPr>
        <w:t>无</w:t>
      </w:r>
    </w:p>
    <w:bookmarkEnd w:id="8"/>
    <w:bookmarkEnd w:id="9"/>
    <w:bookmarkEnd w:id="10"/>
    <w:bookmarkEnd w:id="11"/>
    <w:bookmarkEnd w:id="14"/>
    <w:bookmarkEnd w:id="15"/>
    <w:bookmarkEnd w:id="16"/>
    <w:bookmarkEnd w:id="17"/>
    <w:bookmarkEnd w:id="18"/>
    <w:bookmarkEnd w:id="19"/>
    <w:bookmarkEnd w:id="20"/>
    <w:p w14:paraId="68EBB22E">
      <w:pPr>
        <w:keepNext/>
        <w:jc w:val="center"/>
        <w:outlineLvl w:val="0"/>
        <w:rPr>
          <w:rFonts w:ascii="黑体" w:hAnsi="Times New Roman" w:eastAsia="黑体" w:cs="Times New Roman"/>
          <w:bCs/>
          <w:color w:val="auto"/>
          <w:sz w:val="44"/>
          <w:szCs w:val="28"/>
          <w:highlight w:val="none"/>
        </w:rPr>
      </w:pPr>
    </w:p>
    <w:p w14:paraId="2DFA156E">
      <w:pPr>
        <w:pStyle w:val="32"/>
        <w:rPr>
          <w:color w:val="auto"/>
          <w:highlight w:val="none"/>
        </w:rPr>
      </w:pPr>
    </w:p>
    <w:p w14:paraId="66AD877C">
      <w:pPr>
        <w:keepNext/>
        <w:outlineLvl w:val="0"/>
        <w:rPr>
          <w:rFonts w:ascii="黑体" w:hAnsi="Times New Roman" w:eastAsia="黑体" w:cs="Times New Roman"/>
          <w:bCs/>
          <w:color w:val="auto"/>
          <w:sz w:val="44"/>
          <w:szCs w:val="28"/>
          <w:highlight w:val="none"/>
        </w:rPr>
      </w:pPr>
    </w:p>
    <w:p w14:paraId="1F529E45">
      <w:pPr>
        <w:keepNext/>
        <w:keepLines/>
        <w:spacing w:before="260" w:after="260" w:line="416" w:lineRule="auto"/>
        <w:ind w:firstLine="2429" w:firstLineChars="550"/>
        <w:outlineLvl w:val="1"/>
        <w:rPr>
          <w:rFonts w:ascii="黑体" w:hAnsi="Arial" w:eastAsia="黑体" w:cs="Times New Roman"/>
          <w:color w:val="auto"/>
          <w:sz w:val="44"/>
          <w:szCs w:val="44"/>
          <w:highlight w:val="none"/>
        </w:rPr>
      </w:pPr>
      <w:r>
        <w:rPr>
          <w:rFonts w:hint="eastAsia" w:ascii="黑体" w:hAnsi="Arial" w:eastAsia="黑体" w:cs="Times New Roman"/>
          <w:b/>
          <w:bCs/>
          <w:color w:val="auto"/>
          <w:sz w:val="44"/>
          <w:szCs w:val="44"/>
          <w:highlight w:val="none"/>
        </w:rPr>
        <w:t xml:space="preserve">第二章  </w:t>
      </w:r>
      <w:bookmarkStart w:id="21" w:name="_Toc20823274"/>
      <w:bookmarkStart w:id="22" w:name="_Toc513029202"/>
      <w:bookmarkStart w:id="23" w:name="_Toc120614213"/>
      <w:bookmarkStart w:id="24" w:name="_Toc16938518"/>
      <w:r>
        <w:rPr>
          <w:rFonts w:hint="eastAsia" w:ascii="黑体" w:hAnsi="Arial" w:eastAsia="黑体" w:cs="Times New Roman"/>
          <w:b/>
          <w:bCs/>
          <w:color w:val="auto"/>
          <w:sz w:val="44"/>
          <w:szCs w:val="44"/>
          <w:highlight w:val="none"/>
        </w:rPr>
        <w:t>响应人须知</w:t>
      </w:r>
      <w:bookmarkEnd w:id="21"/>
      <w:bookmarkEnd w:id="22"/>
      <w:bookmarkEnd w:id="23"/>
      <w:bookmarkEnd w:id="24"/>
    </w:p>
    <w:p w14:paraId="2A943FD5">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25" w:name="_Toc16938519"/>
      <w:bookmarkStart w:id="26" w:name="_Toc20823275"/>
      <w:bookmarkStart w:id="27" w:name="_Toc120614214"/>
      <w:bookmarkStart w:id="28" w:name="_Toc513029203"/>
      <w:bookmarkStart w:id="29" w:name="_Toc16938553"/>
      <w:bookmarkStart w:id="30" w:name="_Toc20823309"/>
      <w:bookmarkStart w:id="31" w:name="_Toc513029237"/>
      <w:r>
        <w:rPr>
          <w:rFonts w:hint="eastAsia" w:ascii="Times New Roman" w:hAnsi="Times New Roman" w:eastAsia="宋体" w:cs="Times New Roman"/>
          <w:b/>
          <w:bCs/>
          <w:color w:val="auto"/>
          <w:sz w:val="32"/>
          <w:szCs w:val="32"/>
          <w:highlight w:val="none"/>
        </w:rPr>
        <w:t>一、总则</w:t>
      </w:r>
      <w:bookmarkEnd w:id="25"/>
      <w:bookmarkEnd w:id="26"/>
      <w:bookmarkEnd w:id="27"/>
      <w:bookmarkEnd w:id="28"/>
    </w:p>
    <w:p w14:paraId="6D2C5907">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2" w:name="_Hlt16619475"/>
      <w:bookmarkEnd w:id="32"/>
      <w:bookmarkStart w:id="33" w:name="_Toc458694821"/>
      <w:bookmarkStart w:id="34" w:name="_Toc16938520"/>
      <w:bookmarkStart w:id="35" w:name="_Toc513029204"/>
      <w:bookmarkStart w:id="36" w:name="_Toc20823276"/>
      <w:r>
        <w:rPr>
          <w:rFonts w:hint="eastAsia" w:ascii="宋体" w:hAnsi="宋体" w:eastAsia="宋体" w:cs="Times New Roman"/>
          <w:b/>
          <w:color w:val="auto"/>
          <w:sz w:val="28"/>
          <w:szCs w:val="28"/>
          <w:highlight w:val="none"/>
        </w:rPr>
        <w:t>1</w:t>
      </w:r>
      <w:bookmarkEnd w:id="33"/>
      <w:r>
        <w:rPr>
          <w:rFonts w:hint="eastAsia" w:ascii="宋体" w:hAnsi="宋体" w:eastAsia="宋体" w:cs="Times New Roman"/>
          <w:b/>
          <w:color w:val="auto"/>
          <w:sz w:val="28"/>
          <w:szCs w:val="28"/>
          <w:highlight w:val="none"/>
        </w:rPr>
        <w:t>、采购方式</w:t>
      </w:r>
      <w:bookmarkEnd w:id="34"/>
      <w:bookmarkEnd w:id="35"/>
      <w:bookmarkEnd w:id="36"/>
    </w:p>
    <w:p w14:paraId="4075E2F0">
      <w:pPr>
        <w:keepNext/>
        <w:keepLines/>
        <w:spacing w:line="360" w:lineRule="auto"/>
        <w:ind w:firstLine="360" w:firstLineChars="150"/>
        <w:outlineLvl w:val="3"/>
        <w:rPr>
          <w:rFonts w:ascii="宋体" w:hAnsi="宋体" w:eastAsia="宋体" w:cs="Times New Roman"/>
          <w:color w:val="auto"/>
          <w:sz w:val="28"/>
          <w:szCs w:val="28"/>
          <w:highlight w:val="none"/>
        </w:rPr>
      </w:pPr>
      <w:r>
        <w:rPr>
          <w:rFonts w:hint="eastAsia" w:ascii="宋体" w:hAnsi="宋体" w:eastAsia="宋体" w:cs="Times New Roman"/>
          <w:bCs/>
          <w:color w:val="auto"/>
          <w:sz w:val="24"/>
          <w:szCs w:val="28"/>
          <w:highlight w:val="none"/>
        </w:rPr>
        <w:t>1.1本采购文件仅适用于采购公告中所述项目。</w:t>
      </w:r>
    </w:p>
    <w:p w14:paraId="3727EA9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7" w:name="_Toc20823277"/>
      <w:bookmarkStart w:id="38" w:name="_Toc513029205"/>
      <w:bookmarkStart w:id="39" w:name="_Toc16938521"/>
      <w:r>
        <w:rPr>
          <w:rFonts w:hint="eastAsia" w:ascii="宋体" w:hAnsi="宋体" w:eastAsia="宋体" w:cs="Times New Roman"/>
          <w:b/>
          <w:color w:val="auto"/>
          <w:sz w:val="28"/>
          <w:szCs w:val="28"/>
          <w:highlight w:val="none"/>
        </w:rPr>
        <w:t>2、合格的响应人</w:t>
      </w:r>
      <w:bookmarkEnd w:id="37"/>
      <w:bookmarkEnd w:id="38"/>
      <w:bookmarkEnd w:id="39"/>
    </w:p>
    <w:p w14:paraId="2B18862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2.1 满足采购公告中供应商的资质要求的规定。</w:t>
      </w:r>
    </w:p>
    <w:p w14:paraId="1112440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2.2 满足本文件实质性条款的规定。</w:t>
      </w:r>
    </w:p>
    <w:p w14:paraId="23F6929B">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0" w:name="_Toc16938522"/>
      <w:bookmarkStart w:id="41" w:name="_Toc20823278"/>
      <w:bookmarkStart w:id="42" w:name="_Toc513029206"/>
      <w:r>
        <w:rPr>
          <w:rFonts w:hint="eastAsia" w:ascii="宋体" w:hAnsi="宋体" w:eastAsia="宋体" w:cs="Times New Roman"/>
          <w:b/>
          <w:color w:val="auto"/>
          <w:sz w:val="28"/>
          <w:szCs w:val="28"/>
          <w:highlight w:val="none"/>
        </w:rPr>
        <w:t>3、适用法律</w:t>
      </w:r>
      <w:bookmarkEnd w:id="40"/>
      <w:bookmarkEnd w:id="41"/>
      <w:bookmarkEnd w:id="42"/>
    </w:p>
    <w:p w14:paraId="34D1704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3.1 本次采购及由此产生的合同受中华人民共和国有关的法律法规制约和保护</w:t>
      </w:r>
      <w:r>
        <w:rPr>
          <w:rFonts w:ascii="宋体" w:hAnsi="宋体" w:eastAsia="宋体" w:cs="Times New Roman"/>
          <w:bCs/>
          <w:color w:val="auto"/>
          <w:sz w:val="24"/>
          <w:szCs w:val="28"/>
          <w:highlight w:val="none"/>
        </w:rPr>
        <w:t>。</w:t>
      </w:r>
    </w:p>
    <w:p w14:paraId="20C91F8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3" w:name="_Toc462564067"/>
      <w:bookmarkStart w:id="44" w:name="_Toc513029207"/>
      <w:bookmarkStart w:id="45" w:name="_Toc20823279"/>
      <w:bookmarkStart w:id="46" w:name="_Toc16938523"/>
      <w:r>
        <w:rPr>
          <w:rFonts w:hint="eastAsia" w:ascii="宋体" w:hAnsi="宋体" w:eastAsia="宋体" w:cs="Times New Roman"/>
          <w:b/>
          <w:color w:val="auto"/>
          <w:sz w:val="28"/>
          <w:szCs w:val="28"/>
          <w:highlight w:val="none"/>
        </w:rPr>
        <w:t>4、响应费用</w:t>
      </w:r>
      <w:bookmarkEnd w:id="43"/>
      <w:bookmarkEnd w:id="44"/>
      <w:bookmarkEnd w:id="45"/>
      <w:bookmarkEnd w:id="46"/>
    </w:p>
    <w:p w14:paraId="797CAFA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4.1 响应人应自行承担所有与参加响应有关的费用，无论响应过程中的做法和结果如何，南京医科大学附属口腔医院采购中心（以下简称采购中心）在任何情况下均无义务和责任承担这些费用。</w:t>
      </w:r>
    </w:p>
    <w:p w14:paraId="3F50993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4.2 本次采购采购中心和采购人不收取标书工本费与成交服务费。</w:t>
      </w:r>
    </w:p>
    <w:p w14:paraId="7408907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5、采购文件的约束力</w:t>
      </w:r>
    </w:p>
    <w:p w14:paraId="6AFEF5A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5.1 响应人一旦参加本项目采购活动，即被认为接受了本采购文件的规定和约束。</w:t>
      </w:r>
      <w:bookmarkStart w:id="47" w:name="_Toc16938525"/>
      <w:bookmarkStart w:id="48" w:name="_Toc513029209"/>
      <w:bookmarkStart w:id="49" w:name="_Toc120614215"/>
      <w:bookmarkStart w:id="50" w:name="_Toc20823281"/>
    </w:p>
    <w:p w14:paraId="41CF2654">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二、采购文件</w:t>
      </w:r>
      <w:bookmarkEnd w:id="47"/>
      <w:bookmarkEnd w:id="48"/>
      <w:bookmarkEnd w:id="49"/>
      <w:bookmarkEnd w:id="50"/>
    </w:p>
    <w:p w14:paraId="0808C409">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51" w:name="_Toc20823282"/>
      <w:bookmarkStart w:id="52" w:name="_Toc513029210"/>
      <w:bookmarkStart w:id="53" w:name="_Toc16938526"/>
      <w:r>
        <w:rPr>
          <w:rFonts w:hint="eastAsia" w:ascii="宋体" w:hAnsi="宋体" w:eastAsia="宋体" w:cs="Times New Roman"/>
          <w:b/>
          <w:color w:val="auto"/>
          <w:sz w:val="28"/>
          <w:szCs w:val="28"/>
          <w:highlight w:val="none"/>
        </w:rPr>
        <w:t>6、采购文件构成</w:t>
      </w:r>
      <w:bookmarkEnd w:id="51"/>
      <w:bookmarkEnd w:id="52"/>
      <w:bookmarkEnd w:id="53"/>
    </w:p>
    <w:p w14:paraId="48D5CB1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6.1 采购文件由以下部分组成：</w:t>
      </w:r>
    </w:p>
    <w:p w14:paraId="6F22C97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（1）采购公告</w:t>
      </w:r>
    </w:p>
    <w:p w14:paraId="1495F250">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（2）响应人须知</w:t>
      </w:r>
    </w:p>
    <w:p w14:paraId="00CDB972">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（3）合同条款及格式</w:t>
      </w:r>
    </w:p>
    <w:p w14:paraId="7B2D2D31">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（4）项目需求</w:t>
      </w:r>
    </w:p>
    <w:p w14:paraId="32B2A42C">
      <w:pPr>
        <w:spacing w:line="360" w:lineRule="auto"/>
        <w:ind w:firstLine="360" w:firstLineChars="150"/>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Times New Roman" w:hAnsi="宋体" w:eastAsia="宋体" w:cs="Times New Roman"/>
          <w:color w:val="auto"/>
          <w:sz w:val="24"/>
          <w:szCs w:val="24"/>
          <w:highlight w:val="none"/>
        </w:rPr>
        <w:t>评标方法与评标标准</w:t>
      </w:r>
    </w:p>
    <w:p w14:paraId="2C2199A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（6）响应文件格式</w:t>
      </w:r>
    </w:p>
    <w:p w14:paraId="5665207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请仔细检查采购文件是否齐全，如有缺漏请立即与采购中心联系解决。</w:t>
      </w:r>
    </w:p>
    <w:p w14:paraId="6702E654">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4" w:name="_Toc20823283"/>
      <w:bookmarkStart w:id="55" w:name="_Toc513029211"/>
      <w:bookmarkStart w:id="56" w:name="_Toc462564070"/>
      <w:bookmarkStart w:id="57" w:name="_Toc16938527"/>
    </w:p>
    <w:p w14:paraId="548BB1E4">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7、采购文件的澄清</w:t>
      </w:r>
      <w:bookmarkEnd w:id="54"/>
      <w:bookmarkEnd w:id="55"/>
      <w:bookmarkEnd w:id="56"/>
      <w:bookmarkEnd w:id="57"/>
    </w:p>
    <w:p w14:paraId="765CE3A9">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7.1 任何要求对采购文件进行澄清的响应人，应在响应截止期前按采购公告中的通讯地址，以书面形式通知采购中心。</w:t>
      </w:r>
      <w:bookmarkStart w:id="58" w:name="_Toc513029212"/>
      <w:bookmarkStart w:id="59" w:name="_Toc462564071"/>
      <w:bookmarkStart w:id="60" w:name="_Toc16938528"/>
      <w:bookmarkStart w:id="61" w:name="_Toc20823284"/>
    </w:p>
    <w:p w14:paraId="0DF367C0">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8、采购文件的修改</w:t>
      </w:r>
      <w:bookmarkEnd w:id="58"/>
      <w:bookmarkEnd w:id="59"/>
      <w:bookmarkEnd w:id="60"/>
      <w:bookmarkEnd w:id="61"/>
    </w:p>
    <w:p w14:paraId="5A1CA3A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8.1 在响应截止时间前，采购中心可以对采购文件进行修改。</w:t>
      </w:r>
    </w:p>
    <w:p w14:paraId="0D29F02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8.2 采购中心有权推迟响应截止日期和开标日期。</w:t>
      </w:r>
    </w:p>
    <w:p w14:paraId="7A5DFA7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8.3 采购文件的修改将在南京医科大学附属口腔医院网站公布，补充文件将作为采购文件的组成部分，并对响应人具有约束力。</w:t>
      </w:r>
      <w:bookmarkStart w:id="62" w:name="_Toc462564072"/>
      <w:bookmarkStart w:id="63" w:name="_Toc20823285"/>
      <w:bookmarkStart w:id="64" w:name="_Toc513029213"/>
      <w:bookmarkStart w:id="65" w:name="_Toc16938529"/>
      <w:bookmarkStart w:id="66" w:name="_Toc120614216"/>
    </w:p>
    <w:p w14:paraId="039061A3">
      <w:pPr>
        <w:spacing w:line="500" w:lineRule="exact"/>
        <w:ind w:firstLine="643" w:firstLineChars="200"/>
        <w:rPr>
          <w:rFonts w:ascii="宋体" w:hAnsi="宋体" w:eastAsia="宋体" w:cs="Times New Roman"/>
          <w:color w:val="auto"/>
          <w:sz w:val="24"/>
          <w:szCs w:val="21"/>
          <w:highlight w:val="none"/>
        </w:rPr>
      </w:pPr>
      <w:r>
        <w:rPr>
          <w:rFonts w:hint="eastAsia" w:ascii="Times New Roman" w:hAnsi="Times New Roman" w:eastAsia="宋体" w:cs="Times New Roman"/>
          <w:b/>
          <w:bCs/>
          <w:color w:val="auto"/>
          <w:sz w:val="32"/>
          <w:szCs w:val="32"/>
          <w:highlight w:val="none"/>
        </w:rPr>
        <w:t>三、响应文件的编制</w:t>
      </w:r>
      <w:bookmarkEnd w:id="62"/>
      <w:bookmarkEnd w:id="63"/>
      <w:bookmarkEnd w:id="64"/>
      <w:bookmarkEnd w:id="65"/>
      <w:bookmarkEnd w:id="66"/>
      <w:bookmarkStart w:id="67" w:name="_Toc462564073"/>
      <w:bookmarkStart w:id="68" w:name="_Toc16938530"/>
      <w:bookmarkStart w:id="69" w:name="_Toc513029214"/>
      <w:bookmarkStart w:id="70" w:name="_Toc20823286"/>
    </w:p>
    <w:p w14:paraId="1AF38CEB">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9、响应文件的语言及度量衡单位</w:t>
      </w:r>
      <w:bookmarkEnd w:id="67"/>
      <w:bookmarkEnd w:id="68"/>
      <w:bookmarkEnd w:id="69"/>
      <w:bookmarkEnd w:id="70"/>
    </w:p>
    <w:p w14:paraId="2BAF1D6A">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9.1 响应人提交的响应文件以及响应人与采购中心就有关响应的所有来往通知、函件和文件均应使用简体中文。</w:t>
      </w:r>
    </w:p>
    <w:p w14:paraId="708E2A5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9.2 除技术性能另有规定外，响应文件所使用的度量衡单位，均须采用国家法定计量单位。</w:t>
      </w:r>
      <w:bookmarkStart w:id="71" w:name="_Toc16938531"/>
      <w:bookmarkStart w:id="72" w:name="_Toc20823287"/>
      <w:bookmarkStart w:id="73" w:name="_Toc462564074"/>
      <w:bookmarkStart w:id="74" w:name="_Toc513029215"/>
    </w:p>
    <w:p w14:paraId="5F9CAB1A">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10、响应文件构成</w:t>
      </w:r>
      <w:bookmarkEnd w:id="71"/>
      <w:bookmarkEnd w:id="72"/>
      <w:bookmarkEnd w:id="73"/>
      <w:bookmarkEnd w:id="74"/>
    </w:p>
    <w:p w14:paraId="73199BAB">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10.1 响应人编写的响应文件应包括资信证明文件、响应配置与分项报价表、供货一览表、技术参数响应及偏离表、商务条款响应及偏离表、技术及售后服务承诺书、响应函、开标一览表等部分。</w:t>
      </w:r>
    </w:p>
    <w:p w14:paraId="093EDEC3">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10.2 响应人应将响应文件按顺序装订成册，并编制响应文件资料目录。</w:t>
      </w:r>
      <w:bookmarkStart w:id="75" w:name="_Hlt26954838"/>
      <w:bookmarkEnd w:id="75"/>
      <w:bookmarkStart w:id="76" w:name="_Hlt26670360"/>
      <w:bookmarkEnd w:id="76"/>
      <w:bookmarkStart w:id="77" w:name="_Hlt26668975"/>
      <w:bookmarkEnd w:id="77"/>
      <w:bookmarkStart w:id="78" w:name="_Toc513029219"/>
      <w:bookmarkStart w:id="79" w:name="_Toc49090509"/>
      <w:bookmarkStart w:id="80" w:name="_Toc14577357"/>
      <w:bookmarkStart w:id="81" w:name="_Toc49090507"/>
      <w:bookmarkStart w:id="82" w:name="_Toc513029216"/>
      <w:bookmarkStart w:id="83" w:name="_Toc14577354"/>
    </w:p>
    <w:p w14:paraId="0DE2A262">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11、证明响应人资格及符合采购文件要求的文件</w:t>
      </w:r>
      <w:bookmarkEnd w:id="78"/>
      <w:bookmarkEnd w:id="79"/>
      <w:bookmarkEnd w:id="80"/>
    </w:p>
    <w:p w14:paraId="572A39B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11.1</w:t>
      </w:r>
      <w:bookmarkStart w:id="84" w:name="_Hlt26668999"/>
      <w:bookmarkEnd w:id="84"/>
      <w:r>
        <w:rPr>
          <w:rFonts w:hint="eastAsia" w:ascii="宋体" w:hAnsi="宋体" w:eastAsia="宋体" w:cs="Times New Roman"/>
          <w:bCs/>
          <w:color w:val="auto"/>
          <w:sz w:val="24"/>
          <w:szCs w:val="28"/>
          <w:highlight w:val="none"/>
        </w:rPr>
        <w:t xml:space="preserve"> 响应人应按要求提交资信证明文件及符合采购文件规定的文件。</w:t>
      </w:r>
    </w:p>
    <w:p w14:paraId="1E3F772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11.2 响应人应提交证明其有资格参加响应和成交后有能力独立履行合同的文件。</w:t>
      </w:r>
    </w:p>
    <w:p w14:paraId="656F8A4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11.3 响应人除必须具有履行合同所需提供的货物以及服务的能力外，还必须具备相应的财务、技术方面的能力。</w:t>
      </w:r>
    </w:p>
    <w:p w14:paraId="165125F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11.4 响应人应提交根据合同要求提供的证明产品质量合格以及符合采购文件规定的证明文件。11.5 证明响应人所提供货物与采购文件的要求相一致的文件可以是手册、图纸、文字资料和数据。</w:t>
      </w:r>
      <w:bookmarkStart w:id="85" w:name="_Toc49090508"/>
      <w:bookmarkStart w:id="86" w:name="_Toc14577355"/>
    </w:p>
    <w:p w14:paraId="35C66C4F">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12、供货一览表、响应配置与分项报价表</w:t>
      </w:r>
    </w:p>
    <w:p w14:paraId="0088F2F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4F75AA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12.2 标的物</w:t>
      </w:r>
    </w:p>
    <w:p w14:paraId="4E3B831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采购人需求的货物供应、安装，调试及有关技术服务等。</w:t>
      </w:r>
    </w:p>
    <w:p w14:paraId="3D9B27E3">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12.3 有关费用处理</w:t>
      </w:r>
    </w:p>
    <w:p w14:paraId="72964F8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51359B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12.4 其它费用处理</w:t>
      </w:r>
    </w:p>
    <w:p w14:paraId="395C6BC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采购文件未列明，而响应人认为必需的费用也需列入报价。</w:t>
      </w:r>
    </w:p>
    <w:p w14:paraId="3E9272BE">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12.5 响应货币</w:t>
      </w:r>
    </w:p>
    <w:p w14:paraId="1D3A0DED">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响应文件中的货物单价和总价无特殊规定的采用人民币报价，以元为单位标注。采购文件中另有规定的按规定执行。</w:t>
      </w:r>
    </w:p>
    <w:p w14:paraId="358A0741">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 响应配置与分项报价表上的价格应按下列方式分开填写：</w:t>
      </w:r>
    </w:p>
    <w:p w14:paraId="5F4992D9">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12.6.1 项目总价：包括买方需求的货物价格、质量保证费用、培训费用及售后服务费用，项目在指定地点、环境交付、安装、调试、验收所需费用和所有相关税金费用及为完成整个项目所产生的其它所有费用。</w:t>
      </w:r>
    </w:p>
    <w:p w14:paraId="7E9B4116">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12.6.2 项目单价按响应配置及分项报价表中要求填报。</w:t>
      </w:r>
    </w:p>
    <w:p w14:paraId="6E166B51">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13、技术参数响应及偏离表、商务条款响应及偏离表及响应货物说明</w:t>
      </w:r>
    </w:p>
    <w:p w14:paraId="3222D820">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13.1 对采购文件中的技术与商务条款要求逐项作出响应或偏离，并说明原因；</w:t>
      </w:r>
    </w:p>
    <w:p w14:paraId="33348A3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13.2 提供参加本项目类似案例简介；13.3 培训计划；</w:t>
      </w:r>
    </w:p>
    <w:p w14:paraId="4AA9FC9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13.4 详细阐述所投货物的主要组成部分、功能设计、实现思路及关键技术；</w:t>
      </w:r>
    </w:p>
    <w:p w14:paraId="11C2E2C0">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13.5 响应人认为需要的其他技术文件或说明。</w:t>
      </w:r>
    </w:p>
    <w:bookmarkEnd w:id="85"/>
    <w:bookmarkEnd w:id="86"/>
    <w:p w14:paraId="2F2CACE8">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87" w:name="_Hlt26954842"/>
      <w:bookmarkEnd w:id="87"/>
      <w:bookmarkStart w:id="88" w:name="_Hlt26954731"/>
      <w:bookmarkEnd w:id="88"/>
      <w:bookmarkStart w:id="89" w:name="_Hlt26670403"/>
      <w:bookmarkEnd w:id="89"/>
      <w:bookmarkStart w:id="90" w:name="_Hlt26670482"/>
      <w:bookmarkEnd w:id="90"/>
      <w:bookmarkStart w:id="91" w:name="_Hlt26954846"/>
      <w:bookmarkEnd w:id="91"/>
      <w:bookmarkStart w:id="92" w:name="_Hlt26954848"/>
      <w:bookmarkEnd w:id="92"/>
      <w:bookmarkStart w:id="93" w:name="_Hlt26670425"/>
      <w:bookmarkEnd w:id="93"/>
      <w:bookmarkStart w:id="94" w:name="_Hlt26670399"/>
      <w:bookmarkEnd w:id="94"/>
      <w:bookmarkStart w:id="95" w:name="_Hlt26668983"/>
      <w:bookmarkEnd w:id="95"/>
      <w:bookmarkStart w:id="96" w:name="_Hlt26670486"/>
      <w:bookmarkEnd w:id="96"/>
      <w:bookmarkStart w:id="97" w:name="_Hlt26954844"/>
      <w:bookmarkEnd w:id="97"/>
      <w:bookmarkStart w:id="98" w:name="_Hlt26954840"/>
      <w:bookmarkEnd w:id="98"/>
      <w:r>
        <w:rPr>
          <w:rFonts w:hint="eastAsia" w:ascii="宋体" w:hAnsi="宋体" w:eastAsia="宋体" w:cs="Times New Roman"/>
          <w:b/>
          <w:color w:val="auto"/>
          <w:sz w:val="28"/>
          <w:szCs w:val="28"/>
          <w:highlight w:val="none"/>
        </w:rPr>
        <w:t>14、服务承诺及售后服务机构、人员的情况介绍</w:t>
      </w:r>
    </w:p>
    <w:p w14:paraId="45DB3D4A">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14.1 响应人的服务承诺应按不低于采购文件中商务要求的标准。</w:t>
      </w:r>
    </w:p>
    <w:p w14:paraId="7BAC647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14.2 提供响应人有关售后服务的管理制度、售后服务机构的分布情况、售后服务人员的数量、素质、技术水平及售后服务的反应能力。</w:t>
      </w:r>
    </w:p>
    <w:p w14:paraId="749AFD9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15、响应函和开标一览表</w:t>
      </w:r>
    </w:p>
    <w:p w14:paraId="17A9D5C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15.1 响应人应按照采购文件中提供的格式完整、正确填写响应函、开标一览表。</w:t>
      </w:r>
    </w:p>
    <w:p w14:paraId="1AB5EA3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15.2 开标一览表中的价格应与响应文件中响应配置与分项报价表中的价格一致，如不一致，不作为无效响应处理，但评标时按开标一览表中价格为准。</w:t>
      </w:r>
    </w:p>
    <w:p w14:paraId="257CB01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16、响应保证金</w:t>
      </w:r>
    </w:p>
    <w:p w14:paraId="3A6C1CA0">
      <w:pPr>
        <w:keepNext/>
        <w:keepLines/>
        <w:spacing w:line="360" w:lineRule="auto"/>
        <w:ind w:firstLine="360" w:firstLineChars="15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本项目不收取响应保证金。</w:t>
      </w:r>
    </w:p>
    <w:p w14:paraId="19CC818D">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99" w:name="_Hlt26954850"/>
      <w:bookmarkEnd w:id="99"/>
      <w:bookmarkStart w:id="100" w:name="_Hlt26670489"/>
      <w:bookmarkEnd w:id="100"/>
      <w:bookmarkStart w:id="101" w:name="_Hlt26954734"/>
      <w:bookmarkEnd w:id="101"/>
      <w:bookmarkStart w:id="102" w:name="_Toc14577360"/>
      <w:bookmarkStart w:id="103" w:name="_Toc49090511"/>
      <w:r>
        <w:rPr>
          <w:rFonts w:hint="eastAsia" w:ascii="宋体" w:hAnsi="宋体" w:eastAsia="宋体" w:cs="Times New Roman"/>
          <w:b/>
          <w:color w:val="auto"/>
          <w:sz w:val="28"/>
          <w:szCs w:val="28"/>
          <w:highlight w:val="none"/>
        </w:rPr>
        <w:t>17、响应有效期</w:t>
      </w:r>
      <w:bookmarkEnd w:id="102"/>
      <w:bookmarkEnd w:id="103"/>
    </w:p>
    <w:p w14:paraId="089CEFC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17.1 响应有效期为采购中心规定的开标之日后六十（60）天。响应有效期比规定时间短的将被视为非响应性响应而予以拒绝。</w:t>
      </w:r>
    </w:p>
    <w:p w14:paraId="2248B07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2C0578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04" w:name="_Hlt26954852"/>
      <w:bookmarkEnd w:id="104"/>
      <w:bookmarkStart w:id="105" w:name="_Hlt26954739"/>
      <w:bookmarkEnd w:id="105"/>
      <w:bookmarkStart w:id="106" w:name="_Toc14577361"/>
      <w:bookmarkStart w:id="107" w:name="_Toc49090512"/>
      <w:r>
        <w:rPr>
          <w:rFonts w:hint="eastAsia" w:ascii="宋体" w:hAnsi="宋体" w:eastAsia="宋体" w:cs="Times New Roman"/>
          <w:b/>
          <w:color w:val="auto"/>
          <w:sz w:val="28"/>
          <w:szCs w:val="28"/>
          <w:highlight w:val="none"/>
        </w:rPr>
        <w:t>18、响应文件份数和签署</w:t>
      </w:r>
      <w:bookmarkEnd w:id="106"/>
      <w:bookmarkEnd w:id="107"/>
    </w:p>
    <w:p w14:paraId="3EFAC0E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18.1 响应人应严格按照采购公告要求的份数准备响应文件，每份响应文件须清楚地标明“正本”或“副本”字样。一旦正本和副本不符，以正本为准。</w:t>
      </w:r>
    </w:p>
    <w:p w14:paraId="3068C9D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B6D7CF6">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18.3 除响应人对错处做必要修改外，响应文件不得行间插字、涂改或增删。如有修改错漏处，必须由响应文件签署人签字或盖章。</w:t>
      </w:r>
    </w:p>
    <w:p w14:paraId="5B523711">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08" w:name="_Toc20823296"/>
      <w:bookmarkStart w:id="109" w:name="_Toc120614217"/>
      <w:bookmarkStart w:id="110" w:name="_Toc16938540"/>
      <w:bookmarkStart w:id="111" w:name="_Toc513029224"/>
      <w:r>
        <w:rPr>
          <w:rFonts w:hint="eastAsia" w:ascii="Times New Roman" w:hAnsi="Times New Roman" w:eastAsia="宋体" w:cs="Times New Roman"/>
          <w:b/>
          <w:bCs/>
          <w:color w:val="auto"/>
          <w:sz w:val="32"/>
          <w:szCs w:val="32"/>
          <w:highlight w:val="none"/>
        </w:rPr>
        <w:t>四、响应文件的递交</w:t>
      </w:r>
      <w:bookmarkEnd w:id="108"/>
      <w:bookmarkEnd w:id="109"/>
      <w:bookmarkEnd w:id="110"/>
      <w:bookmarkEnd w:id="111"/>
      <w:bookmarkStart w:id="112" w:name="_Toc16938541"/>
      <w:bookmarkStart w:id="113" w:name="_Toc20823297"/>
      <w:bookmarkStart w:id="114" w:name="_Toc462564084"/>
      <w:bookmarkStart w:id="115" w:name="_Toc513029225"/>
    </w:p>
    <w:p w14:paraId="1D1543B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19、响应文件的密封和标记</w:t>
      </w:r>
      <w:bookmarkEnd w:id="112"/>
      <w:bookmarkEnd w:id="113"/>
      <w:bookmarkEnd w:id="114"/>
      <w:bookmarkEnd w:id="115"/>
    </w:p>
    <w:p w14:paraId="701CCF4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19.1 响应人应将响应文件正本和所有副本密封，不论响应人成交与否，响应文件均不退回。</w:t>
      </w:r>
    </w:p>
    <w:p w14:paraId="3BD37C9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 密封的响应文件应：</w:t>
      </w:r>
    </w:p>
    <w:p w14:paraId="73E7D40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19.2.1 注明响应人名称，如因标注不清而产生的后果由响应人自负。按采购公告中注明的地址送达。</w:t>
      </w:r>
    </w:p>
    <w:p w14:paraId="567D9137">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19.2.2 注明响应项目名称、标书编号及包号。</w:t>
      </w:r>
    </w:p>
    <w:p w14:paraId="522C3F5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19.3 未按要求密封和加写标记，采购中心对误投或过早启封概不负责。对由此造成提前开封的响应文件，采购中心将予以拒绝，作无效响应处理。</w:t>
      </w:r>
      <w:bookmarkStart w:id="116" w:name="_Toc20823298"/>
      <w:bookmarkStart w:id="117" w:name="_Toc16938542"/>
      <w:bookmarkStart w:id="118" w:name="_Toc513029226"/>
    </w:p>
    <w:p w14:paraId="1D2445A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20、响应截止日期</w:t>
      </w:r>
      <w:bookmarkEnd w:id="116"/>
      <w:bookmarkEnd w:id="117"/>
      <w:bookmarkEnd w:id="118"/>
    </w:p>
    <w:p w14:paraId="11AAF7A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20.1 采购中心收到响应文件的时间不得迟于采购公告中规定的截止时间。</w:t>
      </w:r>
    </w:p>
    <w:p w14:paraId="181131E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20.2 采购中心可以按照规定，通过修改采购文件酌情延长响应截止日期，在此情况下，响应人的所有权利和义务以及响应人受制的截止日期均应以延长后新的截止日期为准。</w:t>
      </w:r>
      <w:bookmarkStart w:id="119" w:name="_Toc20823299"/>
      <w:bookmarkStart w:id="120" w:name="_Toc16938543"/>
      <w:bookmarkStart w:id="121" w:name="_Toc513029227"/>
    </w:p>
    <w:p w14:paraId="46D8B9E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21、响应文件</w:t>
      </w:r>
      <w:bookmarkEnd w:id="119"/>
      <w:bookmarkEnd w:id="120"/>
      <w:bookmarkEnd w:id="121"/>
      <w:r>
        <w:rPr>
          <w:rFonts w:hint="eastAsia" w:ascii="宋体" w:hAnsi="宋体" w:eastAsia="宋体" w:cs="Times New Roman"/>
          <w:b/>
          <w:color w:val="auto"/>
          <w:sz w:val="28"/>
          <w:szCs w:val="28"/>
          <w:highlight w:val="none"/>
        </w:rPr>
        <w:t>的递交</w:t>
      </w:r>
    </w:p>
    <w:p w14:paraId="19FBF9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21.1 采购中心拒绝接收在其规定的响应截止时间后递交的任何响应文件。</w:t>
      </w:r>
      <w:bookmarkStart w:id="122" w:name="_Toc20823300"/>
      <w:bookmarkStart w:id="123" w:name="_Toc16938544"/>
      <w:bookmarkStart w:id="124" w:name="_Toc513029228"/>
    </w:p>
    <w:p w14:paraId="290AA88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22、响应文件的修改和撤回</w:t>
      </w:r>
      <w:bookmarkEnd w:id="122"/>
      <w:bookmarkEnd w:id="123"/>
      <w:bookmarkEnd w:id="124"/>
    </w:p>
    <w:p w14:paraId="4B11D44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22.1 响应人在递交响应文件后，可以修改或撤回其响应文件，但这种修改和撤回，必须在规定的响应截止时间前，以书面形式通知采购中心，修改或撤回其响应文件。</w:t>
      </w:r>
    </w:p>
    <w:p w14:paraId="71E4BD2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22.2 响应人的修改或撤回文件应按规定进行编制、密封、标记和发送，并应在封套上加注“修改</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或“撤回</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字样。上述补充或修改若涉及响应报价，必须注明“最后唯一报价”字样，否则将视为有选择的报价。修改文件必须在响应截止时间前送达采购中心。</w:t>
      </w:r>
    </w:p>
    <w:p w14:paraId="2642CBD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22.3 在响应截止时间之后，响应人不得对其响应文件作任何修改。</w:t>
      </w:r>
    </w:p>
    <w:p w14:paraId="0109F3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22.4 在响应截止时间至采购文件中规定的响应有效期满之间的这段时间内，响应人不得撤回其响应，否则其响应保证金将不予退还。</w:t>
      </w:r>
    </w:p>
    <w:p w14:paraId="78AF2318">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25" w:name="_Toc20823301"/>
      <w:bookmarkStart w:id="126" w:name="_Toc16938545"/>
      <w:bookmarkStart w:id="127" w:name="_Toc513029229"/>
      <w:bookmarkStart w:id="128" w:name="_Toc120614218"/>
      <w:r>
        <w:rPr>
          <w:rFonts w:hint="eastAsia" w:ascii="Times New Roman" w:hAnsi="Times New Roman" w:eastAsia="宋体" w:cs="Times New Roman"/>
          <w:b/>
          <w:bCs/>
          <w:color w:val="auto"/>
          <w:sz w:val="32"/>
          <w:szCs w:val="32"/>
          <w:highlight w:val="none"/>
        </w:rPr>
        <w:t>五、</w:t>
      </w:r>
      <w:bookmarkEnd w:id="125"/>
      <w:bookmarkEnd w:id="126"/>
      <w:bookmarkEnd w:id="127"/>
      <w:bookmarkEnd w:id="128"/>
      <w:r>
        <w:rPr>
          <w:rFonts w:hint="eastAsia" w:ascii="Times New Roman" w:hAnsi="Times New Roman" w:eastAsia="宋体" w:cs="Times New Roman"/>
          <w:b/>
          <w:bCs/>
          <w:color w:val="auto"/>
          <w:sz w:val="32"/>
          <w:szCs w:val="32"/>
          <w:highlight w:val="none"/>
        </w:rPr>
        <w:t>采购评审</w:t>
      </w:r>
    </w:p>
    <w:p w14:paraId="02FF50E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29" w:name="_Toc16938546"/>
      <w:bookmarkStart w:id="130" w:name="_Toc20823302"/>
      <w:bookmarkStart w:id="131" w:name="_Toc513029230"/>
      <w:r>
        <w:rPr>
          <w:rFonts w:hint="eastAsia" w:ascii="宋体" w:hAnsi="宋体" w:eastAsia="宋体" w:cs="Times New Roman"/>
          <w:b/>
          <w:color w:val="auto"/>
          <w:sz w:val="28"/>
          <w:szCs w:val="28"/>
          <w:highlight w:val="none"/>
        </w:rPr>
        <w:t>23、</w:t>
      </w:r>
      <w:bookmarkEnd w:id="129"/>
      <w:bookmarkEnd w:id="130"/>
      <w:bookmarkEnd w:id="131"/>
      <w:r>
        <w:rPr>
          <w:rFonts w:hint="eastAsia" w:ascii="宋体" w:hAnsi="宋体" w:eastAsia="宋体" w:cs="Times New Roman"/>
          <w:b/>
          <w:color w:val="auto"/>
          <w:sz w:val="28"/>
          <w:szCs w:val="28"/>
          <w:highlight w:val="none"/>
        </w:rPr>
        <w:t>组织</w:t>
      </w:r>
    </w:p>
    <w:p w14:paraId="5392C0F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23.1 采购中心将在采购公告中规定的时间和地点组织采购评审活动。响应人应委派携带有效身份证件的授权代表准时参加。</w:t>
      </w:r>
    </w:p>
    <w:p w14:paraId="3A3D1DE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23.2 采购评审工作由采购中心组织，具体评审事项由评审小组负责。</w:t>
      </w:r>
    </w:p>
    <w:p w14:paraId="237244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23.3 按照规定同意撤回的响应文件将不予开封。</w:t>
      </w:r>
    </w:p>
    <w:p w14:paraId="7149E78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4响应人在报价时不允许采用选择性报价，否则将被视为无效响应。</w:t>
      </w:r>
    </w:p>
    <w:p w14:paraId="25492EA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24、评审程序</w:t>
      </w:r>
    </w:p>
    <w:p w14:paraId="53112DF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24.1评审小组由</w:t>
      </w:r>
      <w:r>
        <w:rPr>
          <w:rFonts w:hint="eastAsia" w:cs="宋体"/>
          <w:color w:val="auto"/>
          <w:sz w:val="24"/>
          <w:highlight w:val="none"/>
        </w:rPr>
        <w:t>使用部门/归口管理部门</w:t>
      </w:r>
      <w:r>
        <w:rPr>
          <w:rFonts w:hint="eastAsia" w:ascii="宋体" w:hAnsi="宋体" w:eastAsia="宋体" w:cs="Times New Roman"/>
          <w:bCs/>
          <w:color w:val="auto"/>
          <w:sz w:val="24"/>
          <w:szCs w:val="24"/>
          <w:highlight w:val="none"/>
        </w:rPr>
        <w:t>代表和有关技术等方面的专家组成，且人员构成符合医院采购有关规定。评审小组独立工作，负责评审所有响应文件并确定成交侯选人。</w:t>
      </w:r>
    </w:p>
    <w:p w14:paraId="42AC82B3">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24.2 评审小组评审供应商所递交的响应文件</w:t>
      </w:r>
      <w:r>
        <w:rPr>
          <w:rFonts w:hint="eastAsia" w:cs="宋体"/>
          <w:color w:val="auto"/>
          <w:sz w:val="24"/>
          <w:highlight w:val="none"/>
        </w:rPr>
        <w:t>。未实质性响应采购文件的响应文件按无效处理，评审小组将告知有关供应商。</w:t>
      </w:r>
    </w:p>
    <w:p w14:paraId="2A14B11C">
      <w:pPr>
        <w:keepNext/>
        <w:keepLines/>
        <w:spacing w:line="360" w:lineRule="auto"/>
        <w:ind w:firstLine="360" w:firstLineChars="150"/>
        <w:outlineLvl w:val="3"/>
        <w:rPr>
          <w:rFonts w:ascii="宋体" w:hAnsi="宋体" w:cs="宋体"/>
          <w:color w:val="auto"/>
          <w:sz w:val="24"/>
          <w:szCs w:val="24"/>
          <w:highlight w:val="none"/>
        </w:rPr>
      </w:pPr>
      <w:r>
        <w:rPr>
          <w:rFonts w:hint="eastAsia" w:ascii="宋体" w:hAnsi="宋体" w:eastAsia="宋体" w:cs="Times New Roman"/>
          <w:bCs/>
          <w:color w:val="auto"/>
          <w:sz w:val="24"/>
          <w:szCs w:val="24"/>
          <w:highlight w:val="none"/>
        </w:rPr>
        <w:t xml:space="preserve">24.3 </w:t>
      </w:r>
      <w:r>
        <w:rPr>
          <w:rFonts w:hint="eastAsia" w:ascii="宋体" w:hAnsi="宋体" w:cs="宋体"/>
          <w:color w:val="auto"/>
          <w:sz w:val="24"/>
          <w:szCs w:val="24"/>
          <w:highlight w:val="none"/>
        </w:rPr>
        <w:t>评审小组出于项目需求与实施考虑，可以集中与单一供应商分别进行商谈。</w:t>
      </w:r>
    </w:p>
    <w:p w14:paraId="33D55869">
      <w:pPr>
        <w:autoSpaceDE w:val="0"/>
        <w:autoSpaceDN w:val="0"/>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24.4 商谈过程中，评审小组根据采购文件和商谈情况可能实质性变动采购需求中的技术、服务要求以及合同草案条款。实质性变动是采购文件的有效组成部分。</w:t>
      </w:r>
    </w:p>
    <w:p w14:paraId="449F4281">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24.5 评审小组可以要求满足资质及实质性要求的供应商在规定时间内提交最后报价。最后报价由其法定代表人或授权代表签字或者加盖公章，最后报价是供应商响应文件的有效组成部分。</w:t>
      </w:r>
    </w:p>
    <w:p w14:paraId="3D90CC6C">
      <w:pPr>
        <w:autoSpaceDE w:val="0"/>
        <w:autoSpaceDN w:val="0"/>
        <w:adjustRightInd w:val="0"/>
        <w:snapToGrid w:val="0"/>
        <w:spacing w:line="360" w:lineRule="auto"/>
        <w:ind w:firstLine="420"/>
        <w:rPr>
          <w:b/>
          <w:bCs/>
          <w:color w:val="auto"/>
          <w:sz w:val="24"/>
          <w:highlight w:val="none"/>
          <w:lang w:val="zh-CN"/>
        </w:rPr>
      </w:pPr>
      <w:r>
        <w:rPr>
          <w:rFonts w:hint="eastAsia" w:cs="宋体"/>
          <w:b/>
          <w:bCs/>
          <w:color w:val="auto"/>
          <w:sz w:val="24"/>
          <w:highlight w:val="none"/>
          <w:lang w:val="zh-CN"/>
        </w:rPr>
        <w:t>24.6 出现下列情形之一的，采购活动终止：</w:t>
      </w:r>
    </w:p>
    <w:p w14:paraId="7BA6D9F4">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1</w:t>
      </w:r>
      <w:r>
        <w:rPr>
          <w:rFonts w:hint="eastAsia" w:cs="宋体"/>
          <w:color w:val="auto"/>
          <w:sz w:val="24"/>
          <w:highlight w:val="none"/>
          <w:lang w:val="zh-CN"/>
        </w:rPr>
        <w:t>）出现影响采购公正的违法、违规行为的；</w:t>
      </w:r>
    </w:p>
    <w:p w14:paraId="57C87320">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）因重大变故，采购任务取消的；</w:t>
      </w:r>
      <w:bookmarkEnd w:id="81"/>
      <w:bookmarkEnd w:id="82"/>
      <w:bookmarkEnd w:id="83"/>
    </w:p>
    <w:p w14:paraId="13056244">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（3）采购人需求发生重大变化暂时不能确定或供应商提供的服务不能满足需求等。</w:t>
      </w:r>
    </w:p>
    <w:p w14:paraId="3D98C1F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25、评审过程的保密与公正</w:t>
      </w:r>
    </w:p>
    <w:p w14:paraId="5CEEEDE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25.1 采购评审开始后，直至向成交的响应人授予合同时止，凡是与审查、澄清、评价和比较响应的有关资料以及授标建议等，采购人、评审小组、采购中心均不得向响应人或与评标无关的其他人员透露。</w:t>
      </w:r>
    </w:p>
    <w:p w14:paraId="38EA980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25.2 在评审过程中，响应人不得以任何行为影响评审过程，否则其响应文件将被作为无效响应文件。</w:t>
      </w:r>
    </w:p>
    <w:p w14:paraId="3A8663B0">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25.3 在评审期间，采购中心将设专门人员与响应人联系。</w:t>
      </w:r>
    </w:p>
    <w:p w14:paraId="48DA81A4">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25.4 采购中心和评审小组不向落标的响应人解释未成交原因，也不公布评审过程中的相关细节。</w:t>
      </w:r>
      <w:bookmarkStart w:id="132" w:name="_Toc513029232"/>
      <w:bookmarkStart w:id="133" w:name="_Toc20823304"/>
      <w:bookmarkStart w:id="134" w:name="_Toc16938548"/>
    </w:p>
    <w:p w14:paraId="046AE8B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26．响应的澄清</w:t>
      </w:r>
      <w:bookmarkEnd w:id="132"/>
      <w:bookmarkEnd w:id="133"/>
      <w:bookmarkEnd w:id="134"/>
    </w:p>
    <w:p w14:paraId="72C201AB">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 xml:space="preserve"> 评审期间，为有助于对响应文件的审查、评价和比较，评审小组有权要求响应人对其响应文件进行澄清，但并非对每个响应人都作澄清要求。</w:t>
      </w:r>
    </w:p>
    <w:p w14:paraId="06DD88D3">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AA8E4CD">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26.3 接到评审小组澄清要求的响应人如未按规定做出澄清，其风险由响应人自行承担。</w:t>
      </w:r>
      <w:bookmarkStart w:id="135" w:name="_Toc20823305"/>
      <w:bookmarkStart w:id="136" w:name="_Toc513029233"/>
      <w:bookmarkStart w:id="137" w:name="_Toc16938549"/>
    </w:p>
    <w:p w14:paraId="2EF05EA8">
      <w:pPr>
        <w:autoSpaceDE w:val="0"/>
        <w:autoSpaceDN w:val="0"/>
        <w:adjustRightInd w:val="0"/>
        <w:snapToGrid w:val="0"/>
        <w:spacing w:line="360" w:lineRule="auto"/>
        <w:ind w:firstLine="42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27、对响应文件的初审</w:t>
      </w:r>
      <w:bookmarkEnd w:id="135"/>
      <w:bookmarkEnd w:id="136"/>
      <w:bookmarkEnd w:id="137"/>
    </w:p>
    <w:p w14:paraId="21CD337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 响应文件初审分为资格审查和符合性审查。</w:t>
      </w:r>
    </w:p>
    <w:p w14:paraId="498335D8">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27.1.1 资格审查：依据采购文件的规定，由评审小组对响应文件中的资格证明文件进行审查，并形成书面审查结论。未通过资格审查的响应人，采购中心将向其授权代表告知未通过资格审查的原因。</w:t>
      </w:r>
    </w:p>
    <w:p w14:paraId="4C1C1D55">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27.1.2 符合性审查：依据采购文件的规定，由评审小组从响应文件的有效性、完整性和对采购文件的响应程度进行审查，以确定是否对采购文件的实质性要求作出响应。</w:t>
      </w:r>
    </w:p>
    <w:p w14:paraId="3E77E23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27.1.3 未通过符合性审查的响应人，采购中心将在评标现场向其授权代表告知未通过符合性</w:t>
      </w:r>
    </w:p>
    <w:p w14:paraId="2C32AF0F">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color w:val="auto"/>
          <w:sz w:val="24"/>
          <w:szCs w:val="24"/>
          <w:highlight w:val="none"/>
          <w:u w:val="single"/>
        </w:rPr>
        <w:t>斜体下划线加粗的内容为实质性要求,不满足为无效响应。</w:t>
      </w:r>
    </w:p>
    <w:p w14:paraId="38B313A2">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2374A675">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27.3 如果响应文件实质上没有响应采购文件的要求，评审小组将予以拒绝，响应人不得通过修改或撤销不合要求的偏离或保留而使其响应成为实质性响应的响应。</w:t>
      </w:r>
    </w:p>
    <w:p w14:paraId="18EB338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27.4 评审小组将对确定为实质性响应的响应文件进行进一步审核，看其是否有计算上或累加上的算术错误，修正错误的原则如下：</w:t>
      </w:r>
    </w:p>
    <w:p w14:paraId="00819E5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（1）响应文件中开标一览表内容与响应文件中相应内容不一致的，以开标一览表为准。</w:t>
      </w:r>
    </w:p>
    <w:p w14:paraId="29B40724">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（2）大写金额和小写金额不一致的，以大写金额为准。</w:t>
      </w:r>
    </w:p>
    <w:p w14:paraId="05118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（3）单价金额小数点或者百分比有明显错位的，以开标一览表的总价为准，并修改单价。</w:t>
      </w:r>
    </w:p>
    <w:p w14:paraId="68A0847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（4）总价金额与按单价汇总金额不一致的，以单价金额计算结果为准。</w:t>
      </w:r>
    </w:p>
    <w:p w14:paraId="02CDAE13">
      <w:pPr>
        <w:keepNext/>
        <w:keepLines/>
        <w:spacing w:line="360" w:lineRule="auto"/>
        <w:ind w:firstLine="480" w:firstLineChars="200"/>
        <w:jc w:val="left"/>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同时出现两种以上错误的，按照前款规定的顺序修正。</w:t>
      </w:r>
    </w:p>
    <w:p w14:paraId="4372BE2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27.5 评审小组将按上述修正错误的方法调整响应文件中的响应报价，调整后的价格应对响应人具有约束力。如果响应人不接受修正后的价格，则其响应将被拒绝，其响应保证金不予退还。</w:t>
      </w:r>
    </w:p>
    <w:p w14:paraId="097A20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27.6 评审小组将允许修正响应文件中不构成重大偏离的、微小的、非正规的、不一致的或不规则的地方，但这些修改不能影响任何响应人相应的名次排列。</w:t>
      </w:r>
    </w:p>
    <w:p w14:paraId="06D1FE43">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8" w:name="_Toc20823306"/>
      <w:bookmarkStart w:id="139" w:name="_Toc16938550"/>
      <w:bookmarkStart w:id="140" w:name="_Toc513029234"/>
      <w:r>
        <w:rPr>
          <w:rFonts w:hint="eastAsia" w:ascii="宋体" w:hAnsi="宋体" w:eastAsia="宋体" w:cs="Times New Roman"/>
          <w:bCs/>
          <w:color w:val="auto"/>
          <w:sz w:val="24"/>
          <w:szCs w:val="24"/>
          <w:highlight w:val="none"/>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D46789C">
      <w:pPr>
        <w:keepNext/>
        <w:keepLines/>
        <w:spacing w:line="360" w:lineRule="auto"/>
        <w:ind w:firstLine="480" w:firstLineChars="20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非单一产品采购项目，采购文件中将载明其中的核心产品。多家响应人提供的核心产品品牌相同的，按前两款规定处理。</w:t>
      </w:r>
    </w:p>
    <w:p w14:paraId="2CAE43B6">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28、</w:t>
      </w:r>
      <w:bookmarkEnd w:id="138"/>
      <w:bookmarkEnd w:id="139"/>
      <w:bookmarkEnd w:id="140"/>
      <w:r>
        <w:rPr>
          <w:rFonts w:hint="eastAsia" w:ascii="宋体" w:hAnsi="宋体" w:eastAsia="宋体" w:cs="Times New Roman"/>
          <w:b/>
          <w:color w:val="auto"/>
          <w:sz w:val="28"/>
          <w:szCs w:val="28"/>
          <w:highlight w:val="none"/>
        </w:rPr>
        <w:t>无效响应条款和废标条款</w:t>
      </w:r>
    </w:p>
    <w:p w14:paraId="14CDD120">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41" w:name="_Toc513029235"/>
      <w:bookmarkStart w:id="142" w:name="_Toc16938551"/>
      <w:bookmarkStart w:id="143" w:name="_Toc20823307"/>
      <w:r>
        <w:rPr>
          <w:rFonts w:hint="eastAsia" w:ascii="宋体" w:hAnsi="宋体" w:eastAsia="宋体" w:cs="Times New Roman"/>
          <w:bCs/>
          <w:color w:val="auto"/>
          <w:sz w:val="24"/>
          <w:szCs w:val="24"/>
          <w:highlight w:val="none"/>
        </w:rPr>
        <w:t>28.1 无效响应条款</w:t>
      </w:r>
    </w:p>
    <w:p w14:paraId="069EF82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 未按要求交纳响应保证金的。</w:t>
      </w:r>
    </w:p>
    <w:p w14:paraId="10E789A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28.1.2 未按照采购文件规定要求密封、签署、盖章的。</w:t>
      </w:r>
    </w:p>
    <w:p w14:paraId="27123B9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28.1.3响应人在报价时采用选择性报价的。</w:t>
      </w:r>
    </w:p>
    <w:p w14:paraId="558C92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28.1.4 响应人不具备采购文件中规定资格要求的。</w:t>
      </w:r>
    </w:p>
    <w:p w14:paraId="7C19AF7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28.1.5 响应人的报价超过了采购预算或最高限价的。</w:t>
      </w:r>
    </w:p>
    <w:p w14:paraId="6F5437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28.1.6 未通过符合性检查的。</w:t>
      </w:r>
    </w:p>
    <w:p w14:paraId="4F598B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28.1.7 不符合采购文件中规定的其他实质性要求和条件的（本采购文件中斜体且有下划线部分为实质性要求和条件）。</w:t>
      </w:r>
    </w:p>
    <w:p w14:paraId="2DA5A7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28.1.8 响应人被“信用中国”网站（www.creditchina.gov.cn）列入失信被执行人或重大税收违法案件当事人名单或政府采购严重失信行为记录名单。</w:t>
      </w:r>
    </w:p>
    <w:p w14:paraId="348267A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28.1.9 响应文件含有采购人不能接受的附加条件的。</w:t>
      </w:r>
    </w:p>
    <w:p w14:paraId="3817393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8FE4F9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28.1.11 其他法律、法规及本采购文件规定的属无效响应的情形。</w:t>
      </w:r>
    </w:p>
    <w:p w14:paraId="0A557657">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 废标条款</w:t>
      </w:r>
    </w:p>
    <w:p w14:paraId="684308D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28.2.1 出现影响采购公正的违法、违规行为的。</w:t>
      </w:r>
    </w:p>
    <w:p w14:paraId="34B1AA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28.2.2 因重大变故，采购任务取消的。</w:t>
      </w:r>
    </w:p>
    <w:p w14:paraId="1FF0746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28.2.3 评标委员会认定采购文件存在歧义、重大缺陷导致评审工作无法进行。</w:t>
      </w:r>
    </w:p>
    <w:p w14:paraId="547463A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28.2.4如出现响应截止时间结束后参加响应的供应商或者在评审期间对采购文件做出实质响应的供应商不足三家情况，按医院采购相关规定执行。</w:t>
      </w:r>
    </w:p>
    <w:p w14:paraId="115F6239">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4" w:name="_Toc120614219"/>
      <w:r>
        <w:rPr>
          <w:rFonts w:hint="eastAsia" w:ascii="Times New Roman" w:hAnsi="Times New Roman" w:eastAsia="宋体" w:cs="Times New Roman"/>
          <w:b/>
          <w:bCs/>
          <w:color w:val="auto"/>
          <w:sz w:val="32"/>
          <w:szCs w:val="32"/>
          <w:highlight w:val="none"/>
        </w:rPr>
        <w:t>六、</w:t>
      </w:r>
      <w:bookmarkEnd w:id="141"/>
      <w:bookmarkEnd w:id="142"/>
      <w:bookmarkEnd w:id="143"/>
      <w:r>
        <w:rPr>
          <w:rFonts w:hint="eastAsia" w:ascii="Times New Roman" w:hAnsi="Times New Roman" w:eastAsia="宋体" w:cs="Times New Roman"/>
          <w:b/>
          <w:bCs/>
          <w:color w:val="auto"/>
          <w:sz w:val="32"/>
          <w:szCs w:val="32"/>
          <w:highlight w:val="none"/>
        </w:rPr>
        <w:t>定标</w:t>
      </w:r>
      <w:bookmarkEnd w:id="144"/>
    </w:p>
    <w:p w14:paraId="16D1AE66">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45" w:name="_Toc513029238"/>
      <w:bookmarkStart w:id="146" w:name="_Toc16938554"/>
      <w:bookmarkStart w:id="147" w:name="_Toc20823310"/>
      <w:r>
        <w:rPr>
          <w:rFonts w:hint="eastAsia" w:ascii="宋体" w:hAnsi="宋体" w:eastAsia="宋体" w:cs="Times New Roman"/>
          <w:b/>
          <w:color w:val="auto"/>
          <w:sz w:val="28"/>
          <w:szCs w:val="28"/>
          <w:highlight w:val="none"/>
        </w:rPr>
        <w:t>29、</w:t>
      </w:r>
      <w:bookmarkEnd w:id="145"/>
      <w:r>
        <w:rPr>
          <w:rFonts w:hint="eastAsia" w:ascii="宋体" w:hAnsi="宋体" w:eastAsia="宋体" w:cs="Times New Roman"/>
          <w:b/>
          <w:color w:val="auto"/>
          <w:sz w:val="28"/>
          <w:szCs w:val="28"/>
          <w:highlight w:val="none"/>
        </w:rPr>
        <w:t>确定</w:t>
      </w:r>
      <w:bookmarkEnd w:id="146"/>
      <w:bookmarkEnd w:id="147"/>
      <w:r>
        <w:rPr>
          <w:rFonts w:hint="eastAsia" w:ascii="宋体" w:hAnsi="宋体" w:eastAsia="宋体" w:cs="Times New Roman"/>
          <w:b/>
          <w:color w:val="auto"/>
          <w:sz w:val="28"/>
          <w:szCs w:val="28"/>
          <w:highlight w:val="none"/>
        </w:rPr>
        <w:t>成交单位</w:t>
      </w:r>
    </w:p>
    <w:p w14:paraId="2A1FE30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29.1 评审小组根据本采购文件规定评分办法与评分标准，在对响应人的品牌、信誉、价格、产品性能及售后等综合因素进行综合评定情况下确定成交候选人。</w:t>
      </w:r>
    </w:p>
    <w:p w14:paraId="6D8C745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29.2 使用部门/归口管理部门代表应根据评审小组推荐的成交候选人确定成交人。</w:t>
      </w:r>
    </w:p>
    <w:p w14:paraId="1FE0ED3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29.3 采购中心将在“南京医科大学附属口腔医院网”发布成交公告，公告期限为1个工作日。</w:t>
      </w:r>
    </w:p>
    <w:p w14:paraId="76546E9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 若有充分证据证明，成交人出现下列情况之一的，一经查实，将被取消成交资格：</w:t>
      </w:r>
    </w:p>
    <w:p w14:paraId="47DCBE5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29.4.1 提供虚假材料谋取成交的。</w:t>
      </w:r>
    </w:p>
    <w:p w14:paraId="0472E93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29.4.2 向采购人、采购中心行贿或者提供其他不正当利益的。</w:t>
      </w:r>
    </w:p>
    <w:p w14:paraId="43B35A1B">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29.4.3 恶意竞争，响应总报价明显低于其自身合理成本且又无法提供证明的。</w:t>
      </w:r>
    </w:p>
    <w:p w14:paraId="65664602">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29.4.4 属于本文件规定的无效条件，但在评标过程中又未被评审小组发现的。</w:t>
      </w:r>
    </w:p>
    <w:p w14:paraId="4A02EA7C">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29.4.5 与采购人或者其他供应商恶意串通的。</w:t>
      </w:r>
    </w:p>
    <w:p w14:paraId="229DAFCD">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29.4.6 采取不正当手段诋毁、排挤其他供应商的。</w:t>
      </w:r>
    </w:p>
    <w:p w14:paraId="1D848EB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29.4.7 不符合法律、法规的规定的。</w:t>
      </w:r>
      <w:bookmarkStart w:id="148" w:name="_Toc200451960"/>
    </w:p>
    <w:p w14:paraId="111B98E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w:t>
      </w:r>
      <w:r>
        <w:rPr>
          <w:rFonts w:ascii="宋体" w:hAnsi="宋体" w:eastAsia="宋体" w:cs="Times New Roman"/>
          <w:bCs/>
          <w:color w:val="auto"/>
          <w:sz w:val="24"/>
          <w:szCs w:val="24"/>
          <w:highlight w:val="none"/>
        </w:rPr>
        <w:t>有下列情形之一的，</w:t>
      </w:r>
      <w:r>
        <w:rPr>
          <w:rFonts w:hint="eastAsia" w:ascii="宋体" w:hAnsi="宋体" w:eastAsia="宋体" w:cs="Times New Roman"/>
          <w:bCs/>
          <w:color w:val="auto"/>
          <w:sz w:val="24"/>
          <w:szCs w:val="24"/>
          <w:highlight w:val="none"/>
        </w:rPr>
        <w:t>视为响应人</w:t>
      </w:r>
      <w:r>
        <w:rPr>
          <w:rFonts w:ascii="宋体" w:hAnsi="宋体" w:eastAsia="宋体" w:cs="Times New Roman"/>
          <w:bCs/>
          <w:color w:val="auto"/>
          <w:sz w:val="24"/>
          <w:szCs w:val="24"/>
          <w:highlight w:val="none"/>
        </w:rPr>
        <w:t>串通</w:t>
      </w:r>
      <w:r>
        <w:rPr>
          <w:rFonts w:hint="eastAsia" w:ascii="宋体" w:hAnsi="宋体" w:eastAsia="宋体" w:cs="Times New Roman"/>
          <w:bCs/>
          <w:color w:val="auto"/>
          <w:sz w:val="24"/>
          <w:szCs w:val="24"/>
          <w:highlight w:val="none"/>
        </w:rPr>
        <w:t>响应，响应无效：</w:t>
      </w:r>
    </w:p>
    <w:p w14:paraId="02ACB518">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29.5.1 不同响应人的响应文件由同一单位或者个人编制。</w:t>
      </w:r>
    </w:p>
    <w:p w14:paraId="5762A38A">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29.5.2 不同响应人委托同一单位或者个人办理响应事宜。</w:t>
      </w:r>
    </w:p>
    <w:p w14:paraId="23EAA7D0">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29.5.3 不同响应人的响应文件载明的项目管理成员或者联系人员为同一人。</w:t>
      </w:r>
    </w:p>
    <w:p w14:paraId="565E4CF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29.5.4 不同响应人的响应文件异常一致或者响应报价呈规律性差异。</w:t>
      </w:r>
    </w:p>
    <w:p w14:paraId="2AB6180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29.5.5 不同响应人的响应文件相互混装。</w:t>
      </w:r>
    </w:p>
    <w:p w14:paraId="3E044FE9">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29.5.6 不同响应人的响应保证金从同一单位或者个人的账户转出。</w:t>
      </w:r>
    </w:p>
    <w:bookmarkEnd w:id="148"/>
    <w:p w14:paraId="2FF067AB">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9" w:name="_Toc120614220"/>
      <w:bookmarkStart w:id="150" w:name="_Toc16938552"/>
      <w:bookmarkStart w:id="151" w:name="_Toc20823308"/>
      <w:bookmarkStart w:id="152" w:name="_Toc513029236"/>
      <w:r>
        <w:rPr>
          <w:rFonts w:hint="eastAsia" w:ascii="Times New Roman" w:hAnsi="Times New Roman" w:eastAsia="宋体" w:cs="Times New Roman"/>
          <w:b/>
          <w:bCs/>
          <w:color w:val="auto"/>
          <w:sz w:val="32"/>
          <w:szCs w:val="32"/>
          <w:highlight w:val="none"/>
        </w:rPr>
        <w:t>七、授予合同</w:t>
      </w:r>
      <w:bookmarkEnd w:id="149"/>
    </w:p>
    <w:bookmarkEnd w:id="150"/>
    <w:bookmarkEnd w:id="151"/>
    <w:bookmarkEnd w:id="152"/>
    <w:p w14:paraId="1D8B0A8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30、签订合同</w:t>
      </w:r>
    </w:p>
    <w:p w14:paraId="432992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30.l 成交人应按照采购文件确定的事项签订合同，且不得迟于成交人确定之日起十日内，否则响应保证金将不予退还，由此给采购人造成损失的，成交人还应承担赔偿责任。</w:t>
      </w:r>
    </w:p>
    <w:p w14:paraId="35D030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30.2 采购文件、成交人的响应文件及采购过程中有关澄清、承诺文件均应作为合同附件。</w:t>
      </w:r>
    </w:p>
    <w:p w14:paraId="2869B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6261C0D">
      <w:pPr>
        <w:autoSpaceDE w:val="0"/>
        <w:autoSpaceDN w:val="0"/>
        <w:adjustRightInd w:val="0"/>
        <w:snapToGrid w:val="0"/>
        <w:spacing w:line="360" w:lineRule="auto"/>
        <w:ind w:firstLine="420"/>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八、询问、质疑、投诉</w:t>
      </w:r>
    </w:p>
    <w:p w14:paraId="567CF2F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31、询问</w:t>
      </w:r>
    </w:p>
    <w:p w14:paraId="0F88294F">
      <w:pPr>
        <w:autoSpaceDE w:val="0"/>
        <w:autoSpaceDN w:val="0"/>
        <w:adjustRightInd w:val="0"/>
        <w:snapToGrid w:val="0"/>
        <w:spacing w:line="360" w:lineRule="auto"/>
        <w:ind w:firstLine="420"/>
        <w:rPr>
          <w:b/>
          <w:bCs/>
          <w:color w:val="auto"/>
          <w:sz w:val="24"/>
          <w:highlight w:val="none"/>
          <w:lang w:val="zh-CN"/>
        </w:rPr>
      </w:pPr>
      <w:r>
        <w:rPr>
          <w:rFonts w:hint="eastAsia" w:cs="宋体"/>
          <w:color w:val="auto"/>
          <w:sz w:val="24"/>
          <w:highlight w:val="none"/>
          <w:lang w:val="zh-CN"/>
        </w:rPr>
        <w:t>供应商对采购活动事项有疑问的，可以向采购中心提出询问，采购中心将在两个工作日内作出答复，但答复的内容不涉及商业秘密</w:t>
      </w:r>
      <w:r>
        <w:rPr>
          <w:rFonts w:hint="eastAsia" w:cs="宋体"/>
          <w:b/>
          <w:bCs/>
          <w:color w:val="auto"/>
          <w:sz w:val="24"/>
          <w:highlight w:val="none"/>
          <w:lang w:val="zh-CN"/>
        </w:rPr>
        <w:t>。</w:t>
      </w:r>
    </w:p>
    <w:p w14:paraId="269D7183">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32、质疑</w:t>
      </w:r>
    </w:p>
    <w:p w14:paraId="6C7AB1A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 xml:space="preserve">.1 </w:t>
      </w:r>
      <w:r>
        <w:rPr>
          <w:rFonts w:hint="eastAsia" w:cs="宋体"/>
          <w:color w:val="auto"/>
          <w:sz w:val="24"/>
          <w:highlight w:val="none"/>
          <w:lang w:val="zh-CN"/>
        </w:rPr>
        <w:t>供应商认为采购文件、采购过程和成交结果使自己的合法权益受到损害的，可以在规定时间内，将质疑文件原件送达</w:t>
      </w:r>
      <w:r>
        <w:rPr>
          <w:rFonts w:hint="eastAsia" w:cs="宋体"/>
          <w:bCs/>
          <w:color w:val="auto"/>
          <w:sz w:val="24"/>
          <w:highlight w:val="none"/>
          <w:lang w:val="zh-CN"/>
        </w:rPr>
        <w:t>审计办公室。</w:t>
      </w:r>
    </w:p>
    <w:p w14:paraId="102B2C03">
      <w:pPr>
        <w:autoSpaceDE w:val="0"/>
        <w:autoSpaceDN w:val="0"/>
        <w:adjustRightInd w:val="0"/>
        <w:snapToGrid w:val="0"/>
        <w:spacing w:line="360" w:lineRule="auto"/>
        <w:ind w:firstLine="480" w:firstLineChars="200"/>
        <w:rPr>
          <w:snapToGrid w:val="0"/>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.2 </w:t>
      </w:r>
      <w:r>
        <w:rPr>
          <w:rFonts w:hint="eastAsia" w:cs="宋体"/>
          <w:color w:val="auto"/>
          <w:sz w:val="24"/>
          <w:highlight w:val="none"/>
          <w:lang w:val="zh-CN"/>
        </w:rPr>
        <w:t>质疑文件应包括以下主要内容，并</w:t>
      </w:r>
      <w:r>
        <w:rPr>
          <w:rFonts w:hint="eastAsia" w:cs="宋体"/>
          <w:color w:val="auto"/>
          <w:sz w:val="24"/>
          <w:highlight w:val="none"/>
        </w:rPr>
        <w:t>按照“谁主张、谁举证”的原则，附上相关证明材料。否则，不予受理：</w:t>
      </w:r>
    </w:p>
    <w:p w14:paraId="1DF892BC">
      <w:pPr>
        <w:autoSpaceDE w:val="0"/>
        <w:autoSpaceDN w:val="0"/>
        <w:adjustRightInd w:val="0"/>
        <w:snapToGrid w:val="0"/>
        <w:spacing w:line="360" w:lineRule="auto"/>
        <w:ind w:left="420" w:leftChars="200"/>
        <w:rPr>
          <w:color w:val="auto"/>
          <w:sz w:val="24"/>
          <w:highlight w:val="none"/>
          <w:lang w:val="zh-CN"/>
        </w:rPr>
      </w:pPr>
      <w:r>
        <w:rPr>
          <w:rFonts w:hint="eastAsia" w:cs="宋体"/>
          <w:color w:val="auto"/>
          <w:sz w:val="24"/>
          <w:highlight w:val="none"/>
        </w:rPr>
        <w:t>（</w:t>
      </w:r>
      <w:r>
        <w:rPr>
          <w:rFonts w:cs="宋体"/>
          <w:color w:val="auto"/>
          <w:sz w:val="24"/>
          <w:highlight w:val="none"/>
        </w:rPr>
        <w:t>1</w:t>
      </w:r>
      <w:r>
        <w:rPr>
          <w:rFonts w:hint="eastAsia" w:cs="宋体"/>
          <w:color w:val="auto"/>
          <w:sz w:val="24"/>
          <w:highlight w:val="none"/>
        </w:rPr>
        <w:t>）质疑项目名称、项目编号、包号、采购公告发布时间、采购评审时间；</w:t>
      </w:r>
    </w:p>
    <w:p w14:paraId="1675AB8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）提起质疑的日期、具体的质疑事项及事实根据（具体条款）；</w:t>
      </w:r>
    </w:p>
    <w:p w14:paraId="35D24CA1">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3</w:t>
      </w:r>
      <w:r>
        <w:rPr>
          <w:rFonts w:hint="eastAsia" w:cs="宋体"/>
          <w:color w:val="auto"/>
          <w:sz w:val="24"/>
          <w:highlight w:val="none"/>
          <w:lang w:val="zh-CN"/>
        </w:rPr>
        <w:t>）认为自己合法权益受到损害或可能受到损害的相关证据材料。</w:t>
      </w:r>
    </w:p>
    <w:p w14:paraId="592DFC55">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4</w:t>
      </w:r>
      <w:r>
        <w:rPr>
          <w:rFonts w:hint="eastAsia" w:cs="宋体"/>
          <w:color w:val="auto"/>
          <w:sz w:val="24"/>
          <w:highlight w:val="none"/>
          <w:lang w:val="zh-CN"/>
        </w:rPr>
        <w:t>）质疑供应商名称、地址、邮编、联系人、联系电话</w:t>
      </w:r>
      <w:r>
        <w:rPr>
          <w:rFonts w:hint="eastAsia" w:cs="宋体"/>
          <w:color w:val="auto"/>
          <w:sz w:val="24"/>
          <w:highlight w:val="none"/>
        </w:rPr>
        <w:t>（包括座机、手机、传真号码等）</w:t>
      </w:r>
      <w:r>
        <w:rPr>
          <w:rFonts w:hint="eastAsia" w:cs="宋体"/>
          <w:color w:val="auto"/>
          <w:sz w:val="24"/>
          <w:highlight w:val="none"/>
          <w:lang w:val="zh-CN"/>
        </w:rPr>
        <w:t>；</w:t>
      </w:r>
    </w:p>
    <w:p w14:paraId="4D96F7FC">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5</w:t>
      </w:r>
      <w:r>
        <w:rPr>
          <w:rFonts w:hint="eastAsia" w:cs="宋体"/>
          <w:color w:val="auto"/>
          <w:sz w:val="24"/>
          <w:highlight w:val="none"/>
          <w:lang w:val="zh-CN"/>
        </w:rPr>
        <w:t>）质疑函应当署名，质疑人为自然人的，应当由本人签字并附有效身份证明；质疑人为法人或其他组织的，应当由法定代表人签字并加盖单位公章。</w:t>
      </w:r>
    </w:p>
    <w:p w14:paraId="0509181D">
      <w:pPr>
        <w:adjustRightInd w:val="0"/>
        <w:snapToGrid w:val="0"/>
        <w:spacing w:line="360" w:lineRule="auto"/>
        <w:ind w:firstLine="480" w:firstLineChars="200"/>
        <w:rPr>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.3 </w:t>
      </w:r>
      <w:r>
        <w:rPr>
          <w:rFonts w:hint="eastAsia" w:cs="宋体"/>
          <w:color w:val="auto"/>
          <w:sz w:val="24"/>
          <w:highlight w:val="none"/>
          <w:lang w:val="zh-CN"/>
        </w:rPr>
        <w:t>质疑</w:t>
      </w:r>
      <w:r>
        <w:rPr>
          <w:rFonts w:hint="eastAsia" w:cs="宋体"/>
          <w:color w:val="auto"/>
          <w:sz w:val="24"/>
          <w:highlight w:val="none"/>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color w:val="auto"/>
          <w:sz w:val="24"/>
          <w:highlight w:val="none"/>
        </w:rPr>
        <w:t>七个工作日内</w:t>
      </w:r>
      <w:r>
        <w:rPr>
          <w:rFonts w:hint="eastAsia" w:cs="宋体"/>
          <w:color w:val="auto"/>
          <w:sz w:val="24"/>
          <w:highlight w:val="none"/>
        </w:rPr>
        <w:t>提出；对采购结果提出质疑的，自采购结果公告之日起计算，</w:t>
      </w:r>
      <w:r>
        <w:rPr>
          <w:rFonts w:hint="eastAsia" w:cs="宋体"/>
          <w:b/>
          <w:color w:val="auto"/>
          <w:sz w:val="24"/>
          <w:highlight w:val="none"/>
        </w:rPr>
        <w:t>七个工作日内</w:t>
      </w:r>
      <w:r>
        <w:rPr>
          <w:rFonts w:hint="eastAsia" w:cs="宋体"/>
          <w:color w:val="auto"/>
          <w:sz w:val="24"/>
          <w:highlight w:val="none"/>
        </w:rPr>
        <w:t>提出。</w:t>
      </w:r>
    </w:p>
    <w:p w14:paraId="22B7A739">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w:t>
      </w:r>
      <w:r>
        <w:rPr>
          <w:rFonts w:hint="eastAsia" w:cs="宋体"/>
          <w:color w:val="auto"/>
          <w:sz w:val="24"/>
          <w:highlight w:val="none"/>
          <w:lang w:val="zh-CN"/>
        </w:rPr>
        <w:t>4</w:t>
      </w:r>
      <w:r>
        <w:rPr>
          <w:rFonts w:cs="宋体"/>
          <w:color w:val="auto"/>
          <w:sz w:val="24"/>
          <w:highlight w:val="none"/>
          <w:lang w:val="zh-CN"/>
        </w:rPr>
        <w:t xml:space="preserve"> </w:t>
      </w:r>
      <w:r>
        <w:rPr>
          <w:rFonts w:hint="eastAsia" w:cs="宋体"/>
          <w:color w:val="auto"/>
          <w:sz w:val="24"/>
          <w:highlight w:val="none"/>
          <w:lang w:val="zh-CN"/>
        </w:rPr>
        <w:t>质疑人质疑时，应当提交质疑书和相关证明材料。质疑书应当由主要负责人签字并加盖公章。质疑书应当现场提交至</w:t>
      </w:r>
      <w:r>
        <w:rPr>
          <w:rFonts w:hint="eastAsia" w:cs="宋体"/>
          <w:color w:val="auto"/>
          <w:sz w:val="24"/>
          <w:highlight w:val="none"/>
        </w:rPr>
        <w:t>采购人</w:t>
      </w:r>
      <w:r>
        <w:rPr>
          <w:rFonts w:hint="eastAsia" w:cs="宋体"/>
          <w:color w:val="auto"/>
          <w:sz w:val="24"/>
          <w:highlight w:val="none"/>
          <w:lang w:val="zh-CN"/>
        </w:rPr>
        <w:t>联系人处，提交时应出示有效身份证明。未按上述要求提交质疑书的，质疑不予受理。</w:t>
      </w:r>
    </w:p>
    <w:p w14:paraId="46C9E06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33、投诉</w:t>
      </w:r>
    </w:p>
    <w:p w14:paraId="05C1722E">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33</w:t>
      </w:r>
      <w:r>
        <w:rPr>
          <w:rFonts w:cs="宋体"/>
          <w:color w:val="auto"/>
          <w:sz w:val="24"/>
          <w:highlight w:val="none"/>
          <w:lang w:val="zh-CN"/>
        </w:rPr>
        <w:t xml:space="preserve">.1 </w:t>
      </w:r>
      <w:r>
        <w:rPr>
          <w:rFonts w:hint="eastAsia" w:cs="宋体"/>
          <w:color w:val="auto"/>
          <w:sz w:val="24"/>
          <w:highlight w:val="none"/>
          <w:lang w:val="zh-CN"/>
        </w:rPr>
        <w:t>质疑供应商对质疑答复不满意，或未在规定的时间内作出答复的，可以在答复期满后</w:t>
      </w:r>
      <w:r>
        <w:rPr>
          <w:rFonts w:hint="eastAsia" w:cs="宋体"/>
          <w:b/>
          <w:bCs/>
          <w:color w:val="auto"/>
          <w:sz w:val="24"/>
          <w:highlight w:val="none"/>
          <w:lang w:val="zh-CN"/>
        </w:rPr>
        <w:t>七个工作日内</w:t>
      </w:r>
      <w:r>
        <w:rPr>
          <w:rFonts w:hint="eastAsia" w:cs="宋体"/>
          <w:color w:val="auto"/>
          <w:sz w:val="24"/>
          <w:highlight w:val="none"/>
          <w:lang w:val="zh-CN"/>
        </w:rPr>
        <w:t>向我院监察部门投诉。</w:t>
      </w:r>
    </w:p>
    <w:p w14:paraId="23F25346">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九、其他</w:t>
      </w:r>
    </w:p>
    <w:p w14:paraId="7D2E56D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34、样品</w:t>
      </w:r>
    </w:p>
    <w:p w14:paraId="6E51B3D6">
      <w:pPr>
        <w:keepNext/>
        <w:keepLines/>
        <w:spacing w:line="360" w:lineRule="auto"/>
        <w:ind w:firstLine="360" w:firstLineChars="150"/>
        <w:outlineLvl w:val="3"/>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34.1 采购文件要求提供样品的，成交人的样品由采购人负责保管、封存，并作为履约验收的参考。未成交人的样品将及时退还。</w:t>
      </w:r>
    </w:p>
    <w:p w14:paraId="42B934F1">
      <w:pPr>
        <w:pStyle w:val="2"/>
        <w:rPr>
          <w:rFonts w:hint="eastAsia" w:ascii="宋体" w:hAnsi="宋体" w:eastAsia="宋体" w:cs="Times New Roman"/>
          <w:bCs/>
          <w:color w:val="auto"/>
          <w:sz w:val="24"/>
          <w:szCs w:val="24"/>
          <w:highlight w:val="none"/>
        </w:rPr>
      </w:pPr>
    </w:p>
    <w:p w14:paraId="7819ED48">
      <w:pPr>
        <w:pStyle w:val="2"/>
        <w:rPr>
          <w:rFonts w:hint="eastAsia" w:ascii="宋体" w:hAnsi="宋体" w:eastAsia="宋体" w:cs="Times New Roman"/>
          <w:bCs/>
          <w:color w:val="auto"/>
          <w:sz w:val="24"/>
          <w:szCs w:val="24"/>
          <w:highlight w:val="none"/>
        </w:rPr>
      </w:pPr>
    </w:p>
    <w:p w14:paraId="03C1E5AF">
      <w:pPr>
        <w:pStyle w:val="2"/>
        <w:rPr>
          <w:rFonts w:hint="eastAsia" w:ascii="宋体" w:hAnsi="宋体" w:eastAsia="宋体" w:cs="Times New Roman"/>
          <w:bCs/>
          <w:color w:val="auto"/>
          <w:sz w:val="24"/>
          <w:szCs w:val="24"/>
          <w:highlight w:val="none"/>
        </w:rPr>
      </w:pPr>
    </w:p>
    <w:bookmarkEnd w:id="29"/>
    <w:bookmarkEnd w:id="30"/>
    <w:bookmarkEnd w:id="31"/>
    <w:p w14:paraId="1B956FF4">
      <w:pPr>
        <w:pStyle w:val="32"/>
        <w:rPr>
          <w:rFonts w:ascii="黑体" w:hAnsi="Times New Roman" w:eastAsia="黑体" w:cs="Times New Roman"/>
          <w:bCs/>
          <w:color w:val="auto"/>
          <w:sz w:val="44"/>
          <w:szCs w:val="28"/>
          <w:highlight w:val="none"/>
        </w:rPr>
      </w:pPr>
    </w:p>
    <w:p w14:paraId="2B678F03">
      <w:pPr>
        <w:pStyle w:val="32"/>
        <w:rPr>
          <w:rFonts w:ascii="黑体" w:hAnsi="Times New Roman" w:eastAsia="黑体" w:cs="Times New Roman"/>
          <w:bCs/>
          <w:color w:val="auto"/>
          <w:sz w:val="44"/>
          <w:szCs w:val="28"/>
          <w:highlight w:val="none"/>
        </w:rPr>
      </w:pPr>
    </w:p>
    <w:p w14:paraId="4578883D">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第三章  合同条款及格式</w:t>
      </w:r>
    </w:p>
    <w:p w14:paraId="07DD86DC">
      <w:pPr>
        <w:spacing w:line="500" w:lineRule="exact"/>
        <w:ind w:firstLine="480" w:firstLineChars="200"/>
        <w:rPr>
          <w:rFonts w:ascii="宋体" w:hAnsi="宋体" w:eastAsia="宋体" w:cs="Times New Roman"/>
          <w:bCs/>
          <w:color w:val="auto"/>
          <w:sz w:val="24"/>
          <w:szCs w:val="21"/>
          <w:highlight w:val="none"/>
        </w:rPr>
      </w:pPr>
      <w:bookmarkStart w:id="153" w:name="_Toc513029243"/>
      <w:bookmarkStart w:id="154" w:name="_Toc20823315"/>
      <w:bookmarkStart w:id="155" w:name="_Toc16938559"/>
      <w:r>
        <w:rPr>
          <w:rFonts w:hint="eastAsia" w:ascii="宋体" w:hAnsi="宋体" w:eastAsia="宋体" w:cs="Times New Roman"/>
          <w:bCs/>
          <w:color w:val="auto"/>
          <w:sz w:val="24"/>
          <w:szCs w:val="21"/>
          <w:highlight w:val="none"/>
        </w:rPr>
        <w:t>以下为中标后签订本项目合同的通用条款，中标人不得提出实质性的修改，关于专用条款将由采购人与中标人结合本项目具体情况协商后签订。</w:t>
      </w:r>
    </w:p>
    <w:bookmarkEnd w:id="153"/>
    <w:bookmarkEnd w:id="154"/>
    <w:bookmarkEnd w:id="155"/>
    <w:p w14:paraId="10AE77F1">
      <w:pPr>
        <w:snapToGrid w:val="0"/>
        <w:spacing w:line="360" w:lineRule="auto"/>
        <w:jc w:val="center"/>
        <w:outlineLvl w:val="0"/>
        <w:rPr>
          <w:rFonts w:ascii="宋体" w:hAnsi="宋体" w:eastAsia="宋体" w:cs="Times New Roman"/>
          <w:b/>
          <w:color w:val="auto"/>
          <w:sz w:val="30"/>
          <w:szCs w:val="21"/>
          <w:highlight w:val="none"/>
        </w:rPr>
      </w:pPr>
      <w:bookmarkStart w:id="156" w:name="_Toc120614281"/>
      <w:bookmarkStart w:id="157" w:name="_Toc26554093"/>
      <w:bookmarkStart w:id="158" w:name="_Toc49090575"/>
      <w:r>
        <w:rPr>
          <w:rFonts w:hint="eastAsia" w:ascii="宋体" w:hAnsi="宋体" w:eastAsia="宋体" w:cs="Times New Roman"/>
          <w:b/>
          <w:color w:val="auto"/>
          <w:sz w:val="30"/>
          <w:szCs w:val="21"/>
          <w:highlight w:val="none"/>
        </w:rPr>
        <w:t>江苏省口腔医院</w:t>
      </w:r>
    </w:p>
    <w:p w14:paraId="65197012">
      <w:pPr>
        <w:snapToGrid w:val="0"/>
        <w:spacing w:line="360" w:lineRule="auto"/>
        <w:jc w:val="center"/>
        <w:outlineLvl w:val="0"/>
        <w:rPr>
          <w:rFonts w:ascii="宋体" w:hAnsi="宋体" w:eastAsia="宋体" w:cs="Times New Roman"/>
          <w:b/>
          <w:color w:val="auto"/>
          <w:sz w:val="30"/>
          <w:szCs w:val="21"/>
          <w:highlight w:val="none"/>
        </w:rPr>
      </w:pPr>
      <w:r>
        <w:rPr>
          <w:rFonts w:hint="eastAsia" w:ascii="宋体" w:hAnsi="宋体" w:eastAsia="宋体" w:cs="Times New Roman"/>
          <w:b/>
          <w:color w:val="auto"/>
          <w:sz w:val="30"/>
          <w:szCs w:val="21"/>
          <w:highlight w:val="none"/>
        </w:rPr>
        <w:t>南京医科大学附属口腔医院</w:t>
      </w:r>
    </w:p>
    <w:p w14:paraId="1FACF53F">
      <w:pPr>
        <w:snapToGrid w:val="0"/>
        <w:spacing w:line="360" w:lineRule="auto"/>
        <w:jc w:val="center"/>
        <w:outlineLvl w:val="0"/>
        <w:rPr>
          <w:rFonts w:ascii="宋体" w:hAnsi="宋体" w:eastAsia="宋体" w:cs="Times New Roman"/>
          <w:b/>
          <w:bCs/>
          <w:color w:val="auto"/>
          <w:sz w:val="30"/>
          <w:szCs w:val="20"/>
          <w:highlight w:val="none"/>
        </w:rPr>
      </w:pPr>
      <w:r>
        <w:rPr>
          <w:rFonts w:hint="eastAsia" w:ascii="宋体" w:hAnsi="宋体" w:eastAsia="宋体" w:cs="Times New Roman"/>
          <w:b/>
          <w:color w:val="auto"/>
          <w:sz w:val="30"/>
          <w:szCs w:val="21"/>
          <w:highlight w:val="none"/>
        </w:rPr>
        <w:t>采购合同（服务）</w:t>
      </w:r>
    </w:p>
    <w:p w14:paraId="110A671A">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项目名称： </w:t>
      </w:r>
    </w:p>
    <w:p w14:paraId="3104D17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采购单号：                 使用科室：</w:t>
      </w:r>
    </w:p>
    <w:p w14:paraId="400C171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甲方：（买方）南京医科大学附属口腔医院</w:t>
      </w:r>
    </w:p>
    <w:p w14:paraId="2D5B37EA">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纳税人识别号：12320000466007140G</w:t>
      </w:r>
    </w:p>
    <w:p w14:paraId="72792D1B">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乙方：（卖方）</w:t>
      </w:r>
    </w:p>
    <w:p w14:paraId="0AF4E221">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纳税人识别号：</w:t>
      </w:r>
    </w:p>
    <w:p w14:paraId="17CE4F95">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甲乙双方根据本项目采购结果及采购文件的要求,经协商一致,达成如下合同:</w:t>
      </w:r>
    </w:p>
    <w:p w14:paraId="0D8DDC5F">
      <w:pPr>
        <w:spacing w:line="360" w:lineRule="auto"/>
        <w:ind w:firstLine="482" w:firstLineChars="200"/>
        <w:rPr>
          <w:rFonts w:ascii="宋体" w:hAnsi="宋体" w:eastAsia="宋体" w:cs="Courier New"/>
          <w:b/>
          <w:color w:val="auto"/>
          <w:sz w:val="24"/>
          <w:szCs w:val="24"/>
          <w:highlight w:val="none"/>
        </w:rPr>
      </w:pPr>
      <w:r>
        <w:rPr>
          <w:rFonts w:hint="eastAsia" w:ascii="宋体" w:hAnsi="宋体" w:eastAsia="宋体" w:cs="Courier New"/>
          <w:b/>
          <w:color w:val="auto"/>
          <w:sz w:val="24"/>
          <w:szCs w:val="24"/>
          <w:highlight w:val="none"/>
        </w:rPr>
        <w:t>一、采购项目的名称及相关内容</w:t>
      </w:r>
    </w:p>
    <w:p w14:paraId="2FAE6BDF">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Courier New"/>
          <w:color w:val="auto"/>
          <w:sz w:val="24"/>
          <w:szCs w:val="24"/>
          <w:highlight w:val="none"/>
        </w:rPr>
        <w:t>1、项目名称：</w:t>
      </w:r>
      <w:r>
        <w:rPr>
          <w:rFonts w:hint="eastAsia" w:ascii="宋体" w:hAnsi="宋体" w:eastAsia="宋体" w:cs="宋体"/>
          <w:bCs/>
          <w:color w:val="auto"/>
          <w:kern w:val="0"/>
          <w:sz w:val="24"/>
          <w:szCs w:val="24"/>
          <w:highlight w:val="none"/>
          <w:u w:val="single"/>
        </w:rPr>
        <w:t>院外门诊污水处理设备维保及加药</w:t>
      </w:r>
      <w:r>
        <w:rPr>
          <w:rFonts w:hint="eastAsia" w:ascii="宋体" w:hAnsi="宋体" w:eastAsia="宋体" w:cs="宋体"/>
          <w:bCs/>
          <w:color w:val="auto"/>
          <w:kern w:val="0"/>
          <w:sz w:val="24"/>
          <w:szCs w:val="24"/>
          <w:highlight w:val="none"/>
          <w:u w:val="single"/>
          <w:lang w:eastAsia="zh-CN"/>
        </w:rPr>
        <w:t>服务</w:t>
      </w:r>
      <w:r>
        <w:rPr>
          <w:rFonts w:hint="eastAsia" w:ascii="宋体" w:hAnsi="宋体" w:eastAsia="宋体" w:cs="宋体"/>
          <w:bCs/>
          <w:color w:val="auto"/>
          <w:kern w:val="0"/>
          <w:sz w:val="24"/>
          <w:szCs w:val="24"/>
          <w:highlight w:val="none"/>
          <w:u w:val="single"/>
        </w:rPr>
        <w:t>项目</w:t>
      </w:r>
    </w:p>
    <w:p w14:paraId="21C16796">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2、项目内容：负责院外门诊部污水处理设备的加药、维保工作，</w:t>
      </w:r>
    </w:p>
    <w:p w14:paraId="6542AE02">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服务范围为：</w:t>
      </w:r>
    </w:p>
    <w:p w14:paraId="5D9FF8D1">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（1）第一门诊部（鼓楼区凤凰西街142号）；</w:t>
      </w:r>
    </w:p>
    <w:p w14:paraId="7900E5EC">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（2）第二门诊部（江宁区新医路12号）；</w:t>
      </w:r>
    </w:p>
    <w:p w14:paraId="617E7ABB">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（3）第三门诊部（玄武区东苑路26号）；</w:t>
      </w:r>
    </w:p>
    <w:p w14:paraId="68B3E112">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（4）第四门诊部（鼓楼区热河南路84号）；</w:t>
      </w:r>
    </w:p>
    <w:p w14:paraId="31F08CC3">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（5）第六门诊部（江宁区秦淮路4号）；</w:t>
      </w:r>
    </w:p>
    <w:p w14:paraId="186D394F">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（6）第七门诊部（鼓楼区幕府东路9号绿地缤纷广场2栋3层）；</w:t>
      </w:r>
    </w:p>
    <w:p w14:paraId="13FCCA54">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（7）第八门诊部（建邺区高庙路56-3号）；</w:t>
      </w:r>
    </w:p>
    <w:p w14:paraId="37371145">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（8）第九门诊部（</w:t>
      </w:r>
      <w:r>
        <w:rPr>
          <w:rFonts w:ascii="宋体" w:hAnsi="宋体" w:eastAsia="宋体" w:cs="Courier New"/>
          <w:color w:val="auto"/>
          <w:sz w:val="24"/>
          <w:szCs w:val="24"/>
          <w:highlight w:val="none"/>
        </w:rPr>
        <w:t>南京市栖霞区文成路8-12号</w:t>
      </w:r>
      <w:r>
        <w:rPr>
          <w:rFonts w:hint="eastAsia" w:ascii="宋体" w:hAnsi="宋体" w:eastAsia="宋体" w:cs="Courier New"/>
          <w:color w:val="auto"/>
          <w:sz w:val="24"/>
          <w:szCs w:val="24"/>
          <w:highlight w:val="none"/>
        </w:rPr>
        <w:t>）</w:t>
      </w:r>
    </w:p>
    <w:p w14:paraId="5CDAE1D6">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（9）其他</w:t>
      </w:r>
    </w:p>
    <w:p w14:paraId="55BAAC6A">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 xml:space="preserve">3、服务期：              </w:t>
      </w:r>
    </w:p>
    <w:p w14:paraId="0F6A35FD">
      <w:pPr>
        <w:spacing w:line="360" w:lineRule="auto"/>
        <w:ind w:firstLine="422"/>
        <w:rPr>
          <w:rFonts w:ascii="宋体" w:hAnsi="宋体" w:eastAsia="宋体" w:cs="Courier New"/>
          <w:color w:val="auto"/>
          <w:sz w:val="24"/>
          <w:szCs w:val="24"/>
          <w:highlight w:val="none"/>
        </w:rPr>
      </w:pPr>
      <w:r>
        <w:rPr>
          <w:rFonts w:hint="eastAsia" w:ascii="宋体" w:hAnsi="宋体" w:eastAsia="宋体" w:cs="Courier New"/>
          <w:b/>
          <w:color w:val="auto"/>
          <w:sz w:val="24"/>
          <w:szCs w:val="24"/>
          <w:highlight w:val="none"/>
        </w:rPr>
        <w:t>二、合同价款（含税）：</w:t>
      </w:r>
      <w:r>
        <w:rPr>
          <w:rFonts w:hint="eastAsia" w:ascii="宋体" w:hAnsi="宋体" w:eastAsia="宋体" w:cs="Courier New"/>
          <w:color w:val="auto"/>
          <w:sz w:val="24"/>
          <w:szCs w:val="24"/>
          <w:highlight w:val="none"/>
        </w:rPr>
        <w:t>本合同总价款人民币￥</w:t>
      </w:r>
      <w:r>
        <w:rPr>
          <w:rFonts w:hint="eastAsia" w:ascii="宋体" w:hAnsi="宋体" w:eastAsia="宋体" w:cs="Courier New"/>
          <w:color w:val="auto"/>
          <w:sz w:val="24"/>
          <w:szCs w:val="24"/>
          <w:highlight w:val="none"/>
          <w:u w:val="single"/>
        </w:rPr>
        <w:t xml:space="preserve">        </w:t>
      </w:r>
      <w:r>
        <w:rPr>
          <w:rFonts w:hint="eastAsia" w:ascii="宋体" w:hAnsi="宋体" w:eastAsia="宋体" w:cs="Courier New"/>
          <w:color w:val="auto"/>
          <w:sz w:val="24"/>
          <w:szCs w:val="24"/>
          <w:highlight w:val="none"/>
        </w:rPr>
        <w:t>元，大写</w:t>
      </w:r>
      <w:r>
        <w:rPr>
          <w:rFonts w:hint="eastAsia" w:ascii="宋体" w:hAnsi="宋体" w:eastAsia="宋体" w:cs="Courier New"/>
          <w:color w:val="auto"/>
          <w:sz w:val="24"/>
          <w:szCs w:val="24"/>
          <w:highlight w:val="none"/>
          <w:u w:val="single"/>
        </w:rPr>
        <w:t xml:space="preserve">        </w:t>
      </w:r>
      <w:r>
        <w:rPr>
          <w:rFonts w:hint="eastAsia" w:ascii="宋体" w:hAnsi="宋体" w:eastAsia="宋体" w:cs="Courier New"/>
          <w:color w:val="auto"/>
          <w:sz w:val="24"/>
          <w:szCs w:val="24"/>
          <w:highlight w:val="none"/>
        </w:rPr>
        <w:t>整。</w:t>
      </w:r>
    </w:p>
    <w:p w14:paraId="4048FAA5">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本合同价款包含所有乙方提供合同约定的服务内容或交付的工作成果的报酬及乙方提供该项服务所支出的必要费用，甲方在上述合同价款之外不再向乙方支付其他任何费用。</w:t>
      </w:r>
    </w:p>
    <w:p w14:paraId="1D2AC552">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b/>
          <w:color w:val="auto"/>
          <w:sz w:val="24"/>
          <w:szCs w:val="24"/>
          <w:highlight w:val="none"/>
        </w:rPr>
        <w:t>三、合同履行：</w:t>
      </w:r>
      <w:r>
        <w:rPr>
          <w:rFonts w:hint="eastAsia" w:ascii="宋体" w:hAnsi="宋体" w:eastAsia="宋体" w:cs="Courier New"/>
          <w:color w:val="auto"/>
          <w:sz w:val="24"/>
          <w:szCs w:val="24"/>
          <w:highlight w:val="none"/>
        </w:rPr>
        <w:t>本合同项下服务的提供参照采购文件的具体要求履行，甲乙双方通过补充条款进行特殊约定的从其约定。</w:t>
      </w:r>
    </w:p>
    <w:p w14:paraId="5C726E8C">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 xml:space="preserve">  经友好协商，甲方委托乙方负责院外门诊部污水处理设备的加药、维保工作，并签署以下协议：</w:t>
      </w:r>
    </w:p>
    <w:p w14:paraId="5935639C">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1.医院门诊部污水处理设备加药，甲方负责设备的查看及开关电源，加药桶里药物低于15%及时通知乙方，由乙方工程师负责加药，如有异常，请及时切断电源并联系乙方人员，维护电话：</w:t>
      </w:r>
      <w:r>
        <w:rPr>
          <w:rFonts w:hint="eastAsia" w:ascii="宋体" w:hAnsi="宋体" w:eastAsia="宋体" w:cs="Courier New"/>
          <w:color w:val="auto"/>
          <w:sz w:val="24"/>
          <w:szCs w:val="24"/>
          <w:highlight w:val="none"/>
          <w:u w:val="single"/>
        </w:rPr>
        <w:t xml:space="preserve">           </w:t>
      </w:r>
      <w:r>
        <w:rPr>
          <w:rFonts w:hint="eastAsia" w:ascii="宋体" w:hAnsi="宋体" w:eastAsia="宋体" w:cs="Courier New"/>
          <w:color w:val="auto"/>
          <w:sz w:val="24"/>
          <w:szCs w:val="24"/>
          <w:highlight w:val="none"/>
        </w:rPr>
        <w:t>并作为工作与乙方对接的内容之一。乙方会在2小时内响应，24小时内赶到现场。</w:t>
      </w:r>
    </w:p>
    <w:p w14:paraId="18D66201">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2.维护保养，对设备容易损坏的零件部件进行查看养护，包含润滑、清理、设备的拆装、调试等，由乙方专业维修工作人员来完成。通过日常养护，有计划地进行查看和维修，保障设备运行时处于最佳状态，认真做好每次加药、检查、维修记录。维保期内如有零配件损坏，只收取维修配件成本费用，不收取人工维修费，配件费用由甲方承担。</w:t>
      </w:r>
    </w:p>
    <w:p w14:paraId="5F66276B">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3.维护服务期限为：2025年</w:t>
      </w:r>
      <w:r>
        <w:rPr>
          <w:rFonts w:hint="eastAsia" w:ascii="宋体" w:hAnsi="宋体" w:eastAsia="宋体" w:cs="Courier New"/>
          <w:color w:val="auto"/>
          <w:sz w:val="24"/>
          <w:szCs w:val="24"/>
          <w:highlight w:val="none"/>
          <w:lang w:val="en-US" w:eastAsia="zh-CN"/>
        </w:rPr>
        <w:t>9</w:t>
      </w:r>
      <w:r>
        <w:rPr>
          <w:rFonts w:hint="eastAsia" w:ascii="宋体" w:hAnsi="宋体" w:eastAsia="宋体" w:cs="Courier New"/>
          <w:color w:val="auto"/>
          <w:sz w:val="24"/>
          <w:szCs w:val="24"/>
          <w:highlight w:val="none"/>
        </w:rPr>
        <w:t>月</w:t>
      </w:r>
      <w:r>
        <w:rPr>
          <w:rFonts w:hint="eastAsia" w:ascii="宋体" w:hAnsi="宋体" w:eastAsia="宋体" w:cs="Courier New"/>
          <w:color w:val="auto"/>
          <w:sz w:val="24"/>
          <w:szCs w:val="24"/>
          <w:highlight w:val="none"/>
          <w:lang w:val="en-US" w:eastAsia="zh-CN"/>
        </w:rPr>
        <w:t>1</w:t>
      </w:r>
      <w:r>
        <w:rPr>
          <w:rFonts w:hint="eastAsia" w:ascii="宋体" w:hAnsi="宋体" w:eastAsia="宋体" w:cs="Courier New"/>
          <w:color w:val="auto"/>
          <w:sz w:val="24"/>
          <w:szCs w:val="24"/>
          <w:highlight w:val="none"/>
        </w:rPr>
        <w:t>日至2028年8月</w:t>
      </w:r>
      <w:r>
        <w:rPr>
          <w:rFonts w:hint="eastAsia" w:ascii="宋体" w:hAnsi="宋体" w:eastAsia="宋体" w:cs="Courier New"/>
          <w:color w:val="auto"/>
          <w:sz w:val="24"/>
          <w:szCs w:val="24"/>
          <w:highlight w:val="none"/>
          <w:lang w:val="en-US" w:eastAsia="zh-CN"/>
        </w:rPr>
        <w:t>31</w:t>
      </w:r>
      <w:r>
        <w:rPr>
          <w:rFonts w:hint="eastAsia" w:ascii="宋体" w:hAnsi="宋体" w:eastAsia="宋体" w:cs="Courier New"/>
          <w:color w:val="auto"/>
          <w:sz w:val="24"/>
          <w:szCs w:val="24"/>
          <w:highlight w:val="none"/>
        </w:rPr>
        <w:t>日，</w:t>
      </w:r>
      <w:r>
        <w:rPr>
          <w:rFonts w:hint="eastAsia" w:ascii="宋体" w:hAnsi="宋体" w:eastAsia="宋体" w:cs="Courier New"/>
          <w:color w:val="auto"/>
          <w:sz w:val="24"/>
          <w:szCs w:val="24"/>
          <w:highlight w:val="none"/>
          <w:lang w:eastAsia="zh-CN"/>
        </w:rPr>
        <w:t>合同</w:t>
      </w:r>
      <w:r>
        <w:rPr>
          <w:rFonts w:hint="eastAsia" w:ascii="宋体" w:hAnsi="宋体" w:eastAsia="宋体" w:cs="Courier New"/>
          <w:color w:val="auto"/>
          <w:sz w:val="24"/>
          <w:szCs w:val="24"/>
          <w:highlight w:val="none"/>
        </w:rPr>
        <w:t>一年一签。</w:t>
      </w:r>
    </w:p>
    <w:p w14:paraId="6F3BE1C5">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 xml:space="preserve">4.维护服务期限到期后，双方协商签订门诊部污水处理设备加药、维护服务合同。 </w:t>
      </w:r>
    </w:p>
    <w:p w14:paraId="20B6569D">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5.配合各区生态环境局、水务局等对污水进行抽检，如发现污水抽样不合格，乙方需立刻整改，三次检测仍不符合污水排放标准，</w:t>
      </w:r>
      <w:r>
        <w:rPr>
          <w:rFonts w:hint="eastAsia" w:ascii="宋体" w:hAnsi="宋体" w:eastAsia="宋体" w:cs="Courier New"/>
          <w:color w:val="auto"/>
          <w:sz w:val="24"/>
          <w:szCs w:val="24"/>
          <w:highlight w:val="none"/>
          <w:lang w:val="en-US" w:eastAsia="zh-CN"/>
        </w:rPr>
        <w:t>扣除半年服务费用并</w:t>
      </w:r>
      <w:r>
        <w:rPr>
          <w:rFonts w:hint="eastAsia" w:ascii="宋体" w:hAnsi="宋体" w:eastAsia="宋体" w:cs="Courier New"/>
          <w:color w:val="auto"/>
          <w:sz w:val="24"/>
          <w:szCs w:val="24"/>
          <w:highlight w:val="none"/>
        </w:rPr>
        <w:t>承担在维保过程中影响到门诊部正常工作所导致的责任及生态环境局、水务局等出具的处罚。</w:t>
      </w:r>
    </w:p>
    <w:p w14:paraId="51695B27">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6.自合同签订之日起进行维保，加药及维保需护士长签字记录，各门诊部加药次数不少于上一服务周期。</w:t>
      </w:r>
    </w:p>
    <w:p w14:paraId="69F6A000">
      <w:pPr>
        <w:spacing w:line="360" w:lineRule="auto"/>
        <w:ind w:firstLine="420"/>
        <w:rPr>
          <w:rFonts w:ascii="宋体" w:hAnsi="宋体" w:eastAsia="宋体" w:cs="宋体"/>
          <w:color w:val="auto"/>
          <w:sz w:val="24"/>
          <w:szCs w:val="24"/>
          <w:highlight w:val="none"/>
        </w:rPr>
      </w:pPr>
      <w:r>
        <w:rPr>
          <w:rFonts w:hint="eastAsia" w:ascii="宋体" w:hAnsi="宋体" w:eastAsia="宋体" w:cs="Courier New"/>
          <w:color w:val="auto"/>
          <w:sz w:val="24"/>
          <w:szCs w:val="24"/>
          <w:highlight w:val="none"/>
        </w:rPr>
        <w:t xml:space="preserve">7.本协议一式肆份，甲方执三份，乙方执一份，双方签字盖章生效。   </w:t>
      </w:r>
    </w:p>
    <w:p w14:paraId="38E509A5">
      <w:pPr>
        <w:spacing w:line="360" w:lineRule="auto"/>
        <w:ind w:firstLine="422"/>
        <w:rPr>
          <w:rFonts w:ascii="宋体" w:hAnsi="宋体" w:eastAsia="宋体" w:cs="Courier New"/>
          <w:color w:val="auto"/>
          <w:sz w:val="24"/>
          <w:szCs w:val="24"/>
          <w:highlight w:val="none"/>
        </w:rPr>
      </w:pPr>
      <w:r>
        <w:rPr>
          <w:rFonts w:hint="eastAsia" w:ascii="宋体" w:hAnsi="宋体" w:eastAsia="宋体" w:cs="Courier New"/>
          <w:b/>
          <w:color w:val="auto"/>
          <w:sz w:val="24"/>
          <w:szCs w:val="24"/>
          <w:highlight w:val="none"/>
        </w:rPr>
        <w:t>四、验收：</w:t>
      </w:r>
      <w:r>
        <w:rPr>
          <w:rFonts w:hint="eastAsia" w:ascii="宋体" w:hAnsi="宋体" w:eastAsia="宋体" w:cs="宋体"/>
          <w:color w:val="auto"/>
          <w:sz w:val="24"/>
          <w:szCs w:val="24"/>
          <w:highlight w:val="none"/>
        </w:rPr>
        <w:t>乙方完成每次维护保养及加药工作后，应由各门诊部护士长进行验收；在</w:t>
      </w:r>
      <w:r>
        <w:rPr>
          <w:rFonts w:hint="eastAsia" w:ascii="宋体" w:hAnsi="宋体" w:eastAsia="宋体" w:cs="Courier New"/>
          <w:color w:val="auto"/>
          <w:sz w:val="24"/>
          <w:szCs w:val="24"/>
          <w:highlight w:val="none"/>
        </w:rPr>
        <w:t>合同履行期间，</w:t>
      </w:r>
      <w:r>
        <w:rPr>
          <w:rFonts w:hint="eastAsia" w:ascii="宋体" w:hAnsi="宋体" w:eastAsia="宋体" w:cs="宋体"/>
          <w:color w:val="auto"/>
          <w:sz w:val="24"/>
          <w:szCs w:val="24"/>
          <w:highlight w:val="none"/>
        </w:rPr>
        <w:t>甲方</w:t>
      </w:r>
      <w:r>
        <w:rPr>
          <w:rFonts w:hint="eastAsia" w:ascii="宋体" w:hAnsi="宋体" w:eastAsia="宋体" w:cs="Courier New"/>
          <w:color w:val="auto"/>
          <w:sz w:val="24"/>
          <w:szCs w:val="24"/>
          <w:highlight w:val="none"/>
        </w:rPr>
        <w:t>有权依照采购文件相关要求对乙方提供的相关服务或交付的工作成果进行阶段性验收。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14:paraId="63238D43">
      <w:pPr>
        <w:spacing w:line="360" w:lineRule="auto"/>
        <w:ind w:firstLine="422"/>
        <w:rPr>
          <w:rFonts w:ascii="宋体" w:hAnsi="宋体" w:eastAsia="宋体" w:cs="Courier New"/>
          <w:b/>
          <w:color w:val="auto"/>
          <w:sz w:val="24"/>
          <w:szCs w:val="24"/>
          <w:highlight w:val="none"/>
        </w:rPr>
      </w:pPr>
      <w:r>
        <w:rPr>
          <w:rFonts w:hint="eastAsia" w:ascii="宋体" w:hAnsi="宋体" w:eastAsia="宋体" w:cs="Courier New"/>
          <w:b/>
          <w:color w:val="auto"/>
          <w:sz w:val="24"/>
          <w:szCs w:val="24"/>
          <w:highlight w:val="none"/>
        </w:rPr>
        <w:t>五、合同责任：</w:t>
      </w:r>
    </w:p>
    <w:p w14:paraId="202165B2">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1、甲方应当为乙方履行合同提供必要的支持。</w:t>
      </w:r>
    </w:p>
    <w:p w14:paraId="084F01D2">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14:paraId="302FE701">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3、乙方在履行合同中产生的一切非因甲方过错导致的损失，均由乙方自行承担责任。</w:t>
      </w:r>
    </w:p>
    <w:p w14:paraId="336519E8">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4、甲乙双方均应指定专人作为本合同履行期间双方之间的联络人，所有一方向相对方正式知会事项的通知到达相对方指定联络人即视为到达对方。</w:t>
      </w:r>
    </w:p>
    <w:p w14:paraId="477010FA">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甲方指定联络人：</w:t>
      </w:r>
    </w:p>
    <w:p w14:paraId="4738D51B">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姓    名：孙宇辰</w:t>
      </w:r>
    </w:p>
    <w:p w14:paraId="142B1D29">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联系方式：18061461091</w:t>
      </w:r>
    </w:p>
    <w:p w14:paraId="4758483F">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乙方指定联络人：</w:t>
      </w:r>
    </w:p>
    <w:p w14:paraId="42670B36">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 xml:space="preserve">姓    名：  </w:t>
      </w:r>
    </w:p>
    <w:p w14:paraId="7BC0F0A4">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联系方式：</w:t>
      </w:r>
    </w:p>
    <w:p w14:paraId="0B2050AE">
      <w:pPr>
        <w:adjustRightInd w:val="0"/>
        <w:snapToGrid w:val="0"/>
        <w:spacing w:line="360" w:lineRule="auto"/>
        <w:ind w:firstLine="482" w:firstLineChars="200"/>
        <w:rPr>
          <w:rFonts w:ascii="宋体" w:hAnsi="宋体" w:eastAsia="宋体" w:cs="Courier New"/>
          <w:b/>
          <w:color w:val="auto"/>
          <w:sz w:val="24"/>
          <w:szCs w:val="24"/>
          <w:highlight w:val="none"/>
        </w:rPr>
      </w:pPr>
      <w:r>
        <w:rPr>
          <w:rFonts w:hint="eastAsia" w:ascii="宋体" w:hAnsi="宋体" w:eastAsia="宋体" w:cs="Courier New"/>
          <w:b/>
          <w:color w:val="auto"/>
          <w:sz w:val="24"/>
          <w:szCs w:val="24"/>
          <w:highlight w:val="none"/>
        </w:rPr>
        <w:t xml:space="preserve">六、付款方式： </w:t>
      </w:r>
      <w:r>
        <w:rPr>
          <w:rFonts w:hint="eastAsia" w:ascii="宋体" w:hAnsi="宋体" w:eastAsia="宋体" w:cs="Courier New"/>
          <w:b/>
          <w:color w:val="auto"/>
          <w:sz w:val="24"/>
          <w:szCs w:val="24"/>
          <w:highlight w:val="none"/>
          <w:u w:val="single"/>
        </w:rPr>
        <w:t xml:space="preserve">               </w:t>
      </w:r>
      <w:r>
        <w:rPr>
          <w:rFonts w:hint="eastAsia" w:ascii="宋体" w:hAnsi="宋体" w:eastAsia="宋体" w:cs="Courier New"/>
          <w:b/>
          <w:color w:val="auto"/>
          <w:sz w:val="24"/>
          <w:szCs w:val="24"/>
          <w:highlight w:val="none"/>
        </w:rPr>
        <w:t xml:space="preserve">       </w:t>
      </w:r>
    </w:p>
    <w:p w14:paraId="56F524CC">
      <w:pPr>
        <w:spacing w:line="360" w:lineRule="auto"/>
        <w:ind w:firstLine="422"/>
        <w:rPr>
          <w:rFonts w:ascii="宋体" w:hAnsi="宋体" w:eastAsia="宋体" w:cs="宋体"/>
          <w:color w:val="auto"/>
          <w:szCs w:val="21"/>
          <w:highlight w:val="none"/>
        </w:rPr>
      </w:pPr>
      <w:r>
        <w:rPr>
          <w:rFonts w:hint="eastAsia" w:ascii="宋体" w:hAnsi="宋体" w:eastAsia="宋体" w:cs="Courier New"/>
          <w:b/>
          <w:color w:val="auto"/>
          <w:sz w:val="24"/>
          <w:szCs w:val="24"/>
          <w:highlight w:val="none"/>
        </w:rPr>
        <w:t>七、</w:t>
      </w:r>
      <w:r>
        <w:rPr>
          <w:rFonts w:hint="eastAsia" w:ascii="宋体" w:hAnsi="宋体" w:eastAsia="宋体" w:cs="宋体"/>
          <w:b/>
          <w:bCs/>
          <w:color w:val="auto"/>
          <w:sz w:val="24"/>
          <w:szCs w:val="24"/>
          <w:highlight w:val="none"/>
        </w:rPr>
        <w:t>合同纠纷处理：</w:t>
      </w:r>
      <w:r>
        <w:rPr>
          <w:rFonts w:hint="eastAsia" w:ascii="宋体" w:hAnsi="宋体" w:eastAsia="宋体" w:cs="宋体"/>
          <w:color w:val="auto"/>
          <w:sz w:val="24"/>
          <w:szCs w:val="24"/>
          <w:highlight w:val="none"/>
        </w:rPr>
        <w:t>本合同执行过程中发生纠纷，由甲乙双方协商解决，若协商不成，作如下 2 处理：</w:t>
      </w:r>
    </w:p>
    <w:p w14:paraId="18ACB87C">
      <w:pPr>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1．申请仲裁。选定仲裁机构为南京市仲裁委员会。</w:t>
      </w:r>
    </w:p>
    <w:p w14:paraId="72782AE7">
      <w:pPr>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2．提起诉讼。约定由采购人所在地法院管辖。</w:t>
      </w:r>
    </w:p>
    <w:p w14:paraId="07EC8C19">
      <w:pPr>
        <w:spacing w:line="360" w:lineRule="auto"/>
        <w:ind w:firstLine="422"/>
        <w:rPr>
          <w:rFonts w:ascii="宋体" w:hAnsi="宋体" w:eastAsia="宋体" w:cs="Courier New"/>
          <w:b/>
          <w:color w:val="auto"/>
          <w:sz w:val="24"/>
          <w:szCs w:val="24"/>
          <w:highlight w:val="none"/>
        </w:rPr>
      </w:pPr>
      <w:r>
        <w:rPr>
          <w:rFonts w:hint="eastAsia" w:ascii="宋体" w:hAnsi="宋体" w:eastAsia="宋体" w:cs="宋体"/>
          <w:b/>
          <w:bCs/>
          <w:color w:val="auto"/>
          <w:szCs w:val="21"/>
          <w:highlight w:val="none"/>
        </w:rPr>
        <w:t>八、</w:t>
      </w:r>
      <w:r>
        <w:rPr>
          <w:rFonts w:ascii="宋体" w:hAnsi="宋体" w:eastAsia="宋体" w:cs="Courier New"/>
          <w:b/>
          <w:color w:val="auto"/>
          <w:sz w:val="24"/>
          <w:szCs w:val="24"/>
          <w:highlight w:val="none"/>
        </w:rPr>
        <w:t>合同生效及其它</w:t>
      </w:r>
    </w:p>
    <w:p w14:paraId="1F65CBDA">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合同经双方法定代表人或授权委托代表人签字并加盖单位公章后生效。</w:t>
      </w:r>
    </w:p>
    <w:p w14:paraId="2950029A">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2．本合同未尽事宜，遵照《中华人民共和国民法典》有关条文执行。</w:t>
      </w:r>
    </w:p>
    <w:p w14:paraId="02546023">
      <w:pPr>
        <w:snapToGrid w:val="0"/>
        <w:spacing w:before="120" w:after="120"/>
        <w:ind w:firstLine="480" w:firstLineChars="200"/>
        <w:rPr>
          <w:rFonts w:ascii="宋体" w:hAnsi="宋体" w:eastAsia="宋体" w:cs="Courier New"/>
          <w:color w:val="auto"/>
          <w:sz w:val="24"/>
          <w:szCs w:val="24"/>
          <w:highlight w:val="none"/>
        </w:rPr>
      </w:pPr>
      <w:r>
        <w:rPr>
          <w:rFonts w:hint="eastAsia" w:ascii="宋体" w:hAnsi="宋体" w:eastAsia="宋体" w:cs="宋体"/>
          <w:color w:val="auto"/>
          <w:sz w:val="24"/>
          <w:szCs w:val="24"/>
          <w:highlight w:val="none"/>
        </w:rPr>
        <w:t>3． 本合同正本壹式肆份，具有同等法律效力，甲方执叁份，乙方执壹份。</w:t>
      </w:r>
    </w:p>
    <w:p w14:paraId="246A8703">
      <w:pPr>
        <w:snapToGrid w:val="0"/>
        <w:spacing w:before="120" w:after="120" w:line="0" w:lineRule="atLeast"/>
        <w:ind w:left="480" w:hanging="480" w:hangingChars="200"/>
        <w:rPr>
          <w:rFonts w:ascii="宋体" w:hAnsi="宋体" w:eastAsia="宋体" w:cs="Courier New"/>
          <w:color w:val="auto"/>
          <w:sz w:val="24"/>
          <w:szCs w:val="24"/>
          <w:highlight w:val="none"/>
        </w:rPr>
      </w:pPr>
      <w:r>
        <w:rPr>
          <w:rFonts w:ascii="宋体" w:hAnsi="宋体" w:eastAsia="宋体" w:cs="Courier New"/>
          <w:color w:val="auto"/>
          <w:sz w:val="24"/>
          <w:szCs w:val="24"/>
          <w:highlight w:val="none"/>
        </w:rPr>
        <w:t xml:space="preserve">  甲方：</w:t>
      </w:r>
      <w:r>
        <w:rPr>
          <w:rFonts w:hint="eastAsia" w:ascii="宋体" w:hAnsi="宋体" w:eastAsia="宋体" w:cs="Courier New"/>
          <w:color w:val="auto"/>
          <w:sz w:val="24"/>
          <w:szCs w:val="24"/>
          <w:highlight w:val="none"/>
        </w:rPr>
        <w:t>南京医科大学附属口腔医院</w:t>
      </w:r>
      <w:r>
        <w:rPr>
          <w:rFonts w:ascii="宋体" w:hAnsi="宋体" w:eastAsia="宋体" w:cs="Courier New"/>
          <w:color w:val="auto"/>
          <w:sz w:val="24"/>
          <w:szCs w:val="24"/>
          <w:highlight w:val="none"/>
        </w:rPr>
        <w:t xml:space="preserve">      乙方</w:t>
      </w:r>
      <w:r>
        <w:rPr>
          <w:rFonts w:hint="eastAsia" w:ascii="宋体" w:hAnsi="宋体" w:eastAsia="宋体" w:cs="Courier New"/>
          <w:color w:val="auto"/>
          <w:sz w:val="24"/>
          <w:szCs w:val="24"/>
          <w:highlight w:val="none"/>
        </w:rPr>
        <w:t>(公司印章及法人印章)</w:t>
      </w:r>
      <w:r>
        <w:rPr>
          <w:rFonts w:ascii="宋体" w:hAnsi="宋体" w:eastAsia="宋体" w:cs="Courier New"/>
          <w:color w:val="auto"/>
          <w:sz w:val="24"/>
          <w:szCs w:val="24"/>
          <w:highlight w:val="none"/>
        </w:rPr>
        <w:t xml:space="preserve">： </w:t>
      </w:r>
    </w:p>
    <w:p w14:paraId="4B171BC4">
      <w:pPr>
        <w:snapToGrid w:val="0"/>
        <w:spacing w:before="120" w:after="120" w:line="0" w:lineRule="atLeast"/>
        <w:rPr>
          <w:rFonts w:ascii="宋体" w:hAnsi="宋体" w:eastAsia="宋体" w:cs="Courier New"/>
          <w:color w:val="auto"/>
          <w:sz w:val="24"/>
          <w:szCs w:val="24"/>
          <w:highlight w:val="none"/>
        </w:rPr>
      </w:pPr>
      <w:r>
        <w:rPr>
          <w:rFonts w:ascii="宋体" w:hAnsi="宋体" w:eastAsia="宋体" w:cs="Courier New"/>
          <w:color w:val="auto"/>
          <w:sz w:val="24"/>
          <w:szCs w:val="24"/>
          <w:highlight w:val="none"/>
        </w:rPr>
        <w:t xml:space="preserve">  地址：</w:t>
      </w:r>
      <w:r>
        <w:rPr>
          <w:rFonts w:hint="eastAsia" w:ascii="宋体" w:hAnsi="宋体" w:eastAsia="宋体" w:cs="Courier New"/>
          <w:color w:val="auto"/>
          <w:sz w:val="24"/>
          <w:szCs w:val="24"/>
          <w:highlight w:val="none"/>
        </w:rPr>
        <w:t>南京市上海路1号</w:t>
      </w:r>
      <w:r>
        <w:rPr>
          <w:rFonts w:ascii="宋体" w:hAnsi="宋体" w:eastAsia="宋体" w:cs="Courier New"/>
          <w:color w:val="auto"/>
          <w:sz w:val="24"/>
          <w:szCs w:val="24"/>
          <w:highlight w:val="none"/>
        </w:rPr>
        <w:t xml:space="preserve">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 xml:space="preserve">地址： </w:t>
      </w:r>
    </w:p>
    <w:p w14:paraId="0A1F48D5">
      <w:pPr>
        <w:snapToGrid w:val="0"/>
        <w:spacing w:before="120" w:after="120" w:line="0" w:lineRule="atLeast"/>
        <w:rPr>
          <w:rFonts w:ascii="宋体" w:hAnsi="宋体" w:eastAsia="宋体" w:cs="Courier New"/>
          <w:color w:val="auto"/>
          <w:sz w:val="24"/>
          <w:szCs w:val="24"/>
          <w:highlight w:val="none"/>
        </w:rPr>
      </w:pPr>
      <w:r>
        <w:rPr>
          <w:rFonts w:ascii="宋体" w:hAnsi="宋体" w:eastAsia="宋体" w:cs="Courier New"/>
          <w:color w:val="auto"/>
          <w:sz w:val="24"/>
          <w:szCs w:val="24"/>
          <w:highlight w:val="none"/>
        </w:rPr>
        <w:t xml:space="preserve">  法定代表人</w:t>
      </w:r>
      <w:r>
        <w:rPr>
          <w:rFonts w:hint="eastAsia" w:ascii="宋体" w:hAnsi="宋体" w:eastAsia="宋体" w:cs="Courier New"/>
          <w:color w:val="auto"/>
          <w:sz w:val="24"/>
          <w:szCs w:val="24"/>
          <w:highlight w:val="none"/>
        </w:rPr>
        <w:t>或授权代表</w:t>
      </w:r>
      <w:r>
        <w:rPr>
          <w:rFonts w:ascii="宋体" w:hAnsi="宋体" w:eastAsia="宋体" w:cs="Courier New"/>
          <w:color w:val="auto"/>
          <w:sz w:val="24"/>
          <w:szCs w:val="24"/>
          <w:highlight w:val="none"/>
        </w:rPr>
        <w:t xml:space="preserve">：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法定代表人</w:t>
      </w:r>
      <w:r>
        <w:rPr>
          <w:rFonts w:hint="eastAsia" w:ascii="宋体" w:hAnsi="宋体" w:eastAsia="宋体" w:cs="Courier New"/>
          <w:color w:val="auto"/>
          <w:sz w:val="24"/>
          <w:szCs w:val="24"/>
          <w:highlight w:val="none"/>
        </w:rPr>
        <w:t>或授权代表</w:t>
      </w:r>
      <w:r>
        <w:rPr>
          <w:rFonts w:ascii="宋体" w:hAnsi="宋体" w:eastAsia="宋体" w:cs="Courier New"/>
          <w:color w:val="auto"/>
          <w:sz w:val="24"/>
          <w:szCs w:val="24"/>
          <w:highlight w:val="none"/>
        </w:rPr>
        <w:t>：</w:t>
      </w:r>
    </w:p>
    <w:p w14:paraId="5FF5DD3E">
      <w:pPr>
        <w:snapToGrid w:val="0"/>
        <w:spacing w:before="120" w:after="120" w:line="0" w:lineRule="atLeast"/>
        <w:ind w:firstLine="240" w:firstLineChars="100"/>
        <w:rPr>
          <w:rFonts w:ascii="宋体" w:hAnsi="Courier New" w:eastAsia="宋体" w:cs="Courier New"/>
          <w:color w:val="auto"/>
          <w:sz w:val="24"/>
          <w:szCs w:val="24"/>
          <w:highlight w:val="none"/>
        </w:rPr>
      </w:pPr>
      <w:r>
        <w:rPr>
          <w:rFonts w:hint="eastAsia" w:ascii="宋体" w:hAnsi="宋体" w:eastAsia="宋体" w:cs="Courier New"/>
          <w:color w:val="auto"/>
          <w:sz w:val="24"/>
          <w:szCs w:val="24"/>
          <w:highlight w:val="none"/>
        </w:rPr>
        <w:t xml:space="preserve">                                    联系电话：          </w:t>
      </w:r>
      <w:r>
        <w:rPr>
          <w:rFonts w:ascii="宋体" w:hAnsi="Courier New" w:eastAsia="宋体" w:cs="Courier New"/>
          <w:color w:val="auto"/>
          <w:sz w:val="24"/>
          <w:szCs w:val="24"/>
          <w:highlight w:val="none"/>
        </w:rPr>
        <w:t xml:space="preserve"> </w:t>
      </w:r>
    </w:p>
    <w:p w14:paraId="4C9654A6">
      <w:pPr>
        <w:snapToGrid w:val="0"/>
        <w:spacing w:before="120" w:after="120" w:line="0" w:lineRule="atLeast"/>
        <w:ind w:firstLine="600"/>
        <w:jc w:val="center"/>
        <w:rPr>
          <w:rFonts w:ascii="宋体" w:hAnsi="Courier New" w:eastAsia="宋体" w:cs="Courier New"/>
          <w:color w:val="auto"/>
          <w:sz w:val="24"/>
          <w:szCs w:val="24"/>
          <w:highlight w:val="none"/>
        </w:rPr>
      </w:pPr>
      <w:r>
        <w:rPr>
          <w:rFonts w:hint="eastAsia" w:ascii="宋体" w:hAnsi="Courier New" w:eastAsia="宋体" w:cs="Courier New"/>
          <w:color w:val="auto"/>
          <w:sz w:val="24"/>
          <w:szCs w:val="24"/>
          <w:highlight w:val="none"/>
        </w:rPr>
        <w:t xml:space="preserve">      开户银行： </w:t>
      </w:r>
    </w:p>
    <w:p w14:paraId="57A80E24">
      <w:pPr>
        <w:snapToGrid w:val="0"/>
        <w:spacing w:before="120" w:after="120" w:line="0" w:lineRule="atLeast"/>
        <w:ind w:firstLine="240" w:firstLineChars="100"/>
        <w:rPr>
          <w:rFonts w:ascii="宋体" w:hAnsi="Courier New" w:eastAsia="宋体" w:cs="Courier New"/>
          <w:color w:val="auto"/>
          <w:sz w:val="24"/>
          <w:szCs w:val="24"/>
          <w:highlight w:val="none"/>
        </w:rPr>
      </w:pPr>
      <w:r>
        <w:rPr>
          <w:rFonts w:hint="eastAsia" w:ascii="宋体" w:hAnsi="宋体" w:eastAsia="宋体" w:cs="Courier New"/>
          <w:color w:val="auto"/>
          <w:sz w:val="24"/>
          <w:szCs w:val="24"/>
          <w:highlight w:val="none"/>
        </w:rPr>
        <w:t xml:space="preserve">联系电话：69593206  </w:t>
      </w:r>
      <w:r>
        <w:rPr>
          <w:rFonts w:hint="eastAsia" w:ascii="宋体" w:hAnsi="Courier New" w:eastAsia="宋体" w:cs="Courier New"/>
          <w:color w:val="auto"/>
          <w:sz w:val="24"/>
          <w:szCs w:val="24"/>
          <w:highlight w:val="none"/>
        </w:rPr>
        <w:t xml:space="preserve">                银行账号： </w:t>
      </w:r>
    </w:p>
    <w:p w14:paraId="7F1BD87C">
      <w:pPr>
        <w:snapToGrid w:val="0"/>
        <w:spacing w:before="120" w:after="120" w:line="0" w:lineRule="atLeast"/>
        <w:ind w:firstLine="240" w:firstLineChars="100"/>
        <w:rPr>
          <w:rFonts w:ascii="宋体" w:hAnsi="宋体" w:eastAsia="宋体" w:cs="Courier New"/>
          <w:color w:val="auto"/>
          <w:sz w:val="24"/>
          <w:szCs w:val="24"/>
          <w:highlight w:val="none"/>
        </w:rPr>
      </w:pPr>
      <w:r>
        <w:rPr>
          <w:rFonts w:ascii="宋体" w:hAnsi="宋体" w:eastAsia="宋体" w:cs="Courier New"/>
          <w:color w:val="auto"/>
          <w:sz w:val="24"/>
          <w:szCs w:val="24"/>
          <w:highlight w:val="none"/>
        </w:rPr>
        <w:t xml:space="preserve">签订日期：      年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 xml:space="preserve">月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日</w:t>
      </w:r>
      <w:r>
        <w:rPr>
          <w:rFonts w:hint="eastAsia" w:ascii="宋体" w:hAnsi="宋体" w:eastAsia="宋体" w:cs="Courier New"/>
          <w:color w:val="auto"/>
          <w:sz w:val="24"/>
          <w:szCs w:val="24"/>
          <w:highlight w:val="none"/>
        </w:rPr>
        <w:t xml:space="preserve">       签</w:t>
      </w:r>
      <w:r>
        <w:rPr>
          <w:rFonts w:ascii="宋体" w:hAnsi="宋体" w:eastAsia="宋体" w:cs="Courier New"/>
          <w:color w:val="auto"/>
          <w:sz w:val="24"/>
          <w:szCs w:val="24"/>
          <w:highlight w:val="none"/>
        </w:rPr>
        <w:t xml:space="preserve">订日期：      年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 xml:space="preserve">月  </w:t>
      </w: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日</w:t>
      </w:r>
    </w:p>
    <w:p w14:paraId="5FDCAC7F">
      <w:pPr>
        <w:keepNext/>
        <w:outlineLvl w:val="0"/>
        <w:rPr>
          <w:rFonts w:ascii="黑体" w:hAnsi="Times New Roman" w:eastAsia="黑体" w:cs="Times New Roman"/>
          <w:bCs/>
          <w:color w:val="auto"/>
          <w:sz w:val="44"/>
          <w:szCs w:val="28"/>
          <w:highlight w:val="none"/>
        </w:rPr>
        <w:sectPr>
          <w:pgSz w:w="11906" w:h="16838"/>
          <w:pgMar w:top="1418" w:right="1588" w:bottom="1418" w:left="1366" w:header="851" w:footer="907" w:gutter="0"/>
          <w:pgNumType w:fmt="decimalFullWidth"/>
          <w:cols w:space="720" w:num="1"/>
          <w:titlePg/>
          <w:docGrid w:linePitch="290" w:charSpace="0"/>
        </w:sectPr>
      </w:pPr>
    </w:p>
    <w:p w14:paraId="23BA9D43">
      <w:pPr>
        <w:rPr>
          <w:b/>
          <w:color w:val="auto"/>
          <w:sz w:val="40"/>
          <w:szCs w:val="52"/>
          <w:highlight w:val="none"/>
        </w:rPr>
      </w:pPr>
    </w:p>
    <w:p w14:paraId="0157F6E1">
      <w:pPr>
        <w:rPr>
          <w:rFonts w:ascii="Times New Roman" w:hAnsi="Times New Roman" w:eastAsia="宋体" w:cs="Times New Roman"/>
          <w:color w:val="auto"/>
          <w:szCs w:val="21"/>
          <w:highlight w:val="none"/>
        </w:rPr>
      </w:pPr>
    </w:p>
    <w:p w14:paraId="73567ACC">
      <w:pPr>
        <w:rPr>
          <w:rFonts w:ascii="Times New Roman" w:hAnsi="Times New Roman" w:eastAsia="宋体" w:cs="Times New Roman"/>
          <w:color w:val="auto"/>
          <w:sz w:val="13"/>
          <w:szCs w:val="21"/>
          <w:highlight w:val="none"/>
        </w:rPr>
      </w:pPr>
    </w:p>
    <w:bookmarkEnd w:id="12"/>
    <w:bookmarkEnd w:id="13"/>
    <w:bookmarkEnd w:id="156"/>
    <w:bookmarkEnd w:id="157"/>
    <w:bookmarkEnd w:id="158"/>
    <w:p w14:paraId="7FB8D1C3">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第四章 项目需求</w:t>
      </w:r>
    </w:p>
    <w:p w14:paraId="0BA6CB30">
      <w:pPr>
        <w:snapToGrid w:val="0"/>
        <w:spacing w:line="360" w:lineRule="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项目概况：</w:t>
      </w:r>
    </w:p>
    <w:p w14:paraId="748BB0DD">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1、项目名称：南京医科大学附属口腔医院院外门诊污水处理设备维保及加药服务</w:t>
      </w:r>
    </w:p>
    <w:p w14:paraId="40C4D399">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2、本项目采购预算为</w:t>
      </w:r>
      <w:r>
        <w:rPr>
          <w:rFonts w:hint="eastAsia" w:ascii="宋体" w:hAnsi="宋体" w:eastAsia="宋体" w:cs="宋体"/>
          <w:bCs/>
          <w:color w:val="auto"/>
          <w:kern w:val="0"/>
          <w:sz w:val="24"/>
          <w:szCs w:val="24"/>
          <w:highlight w:val="none"/>
          <w:u w:val="single"/>
        </w:rPr>
        <w:t>15</w:t>
      </w:r>
      <w:r>
        <w:rPr>
          <w:rFonts w:hint="eastAsia" w:ascii="宋体" w:hAnsi="宋体" w:eastAsia="宋体" w:cs="宋体"/>
          <w:bCs/>
          <w:color w:val="auto"/>
          <w:kern w:val="0"/>
          <w:sz w:val="24"/>
          <w:szCs w:val="24"/>
          <w:highlight w:val="none"/>
        </w:rPr>
        <w:t>万元/年</w:t>
      </w:r>
    </w:p>
    <w:p w14:paraId="434379CE">
      <w:pPr>
        <w:spacing w:line="360" w:lineRule="auto"/>
        <w:ind w:firstLine="420"/>
        <w:rPr>
          <w:rFonts w:ascii="宋体" w:hAnsi="宋体" w:eastAsia="宋体" w:cs="Courier New"/>
          <w:color w:val="auto"/>
          <w:sz w:val="24"/>
          <w:szCs w:val="24"/>
          <w:highlight w:val="none"/>
        </w:rPr>
      </w:pPr>
      <w:r>
        <w:rPr>
          <w:rFonts w:hint="eastAsia" w:ascii="宋体" w:hAnsi="宋体" w:eastAsia="宋体" w:cs="宋体"/>
          <w:bCs/>
          <w:color w:val="auto"/>
          <w:kern w:val="0"/>
          <w:sz w:val="24"/>
          <w:szCs w:val="24"/>
          <w:highlight w:val="none"/>
        </w:rPr>
        <w:t>3、项目地点：</w:t>
      </w:r>
      <w:r>
        <w:rPr>
          <w:rFonts w:hint="eastAsia" w:ascii="宋体" w:hAnsi="宋体" w:eastAsia="宋体" w:cs="Courier New"/>
          <w:color w:val="auto"/>
          <w:sz w:val="24"/>
          <w:szCs w:val="24"/>
          <w:highlight w:val="none"/>
        </w:rPr>
        <w:t>服务范围为：</w:t>
      </w:r>
    </w:p>
    <w:p w14:paraId="7D1B6DCD">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（1）第一门诊部（鼓楼区凤凰西街142号）；</w:t>
      </w:r>
    </w:p>
    <w:p w14:paraId="3FF9F609">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（2）第二门诊部（江宁区新医路12号）；</w:t>
      </w:r>
    </w:p>
    <w:p w14:paraId="77C995C6">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（3）第三门诊部（玄武区东苑路26号）；</w:t>
      </w:r>
    </w:p>
    <w:p w14:paraId="6415C786">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（4）第四门诊部（鼓楼区热河南路84号）；</w:t>
      </w:r>
    </w:p>
    <w:p w14:paraId="51966807">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（5）第六门诊部（江宁区秦淮路4号）；</w:t>
      </w:r>
    </w:p>
    <w:p w14:paraId="7F75C8EE">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（6）第七门诊部（鼓楼区幕府东路9号绿地缤纷广场2栋3层）；</w:t>
      </w:r>
    </w:p>
    <w:p w14:paraId="39A1F028">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（7）第八门诊部（建邺区高庙路56-3号）；</w:t>
      </w:r>
    </w:p>
    <w:p w14:paraId="19151534">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（8）第九门诊部（</w:t>
      </w:r>
      <w:r>
        <w:rPr>
          <w:rFonts w:ascii="宋体" w:hAnsi="宋体" w:eastAsia="宋体" w:cs="Courier New"/>
          <w:color w:val="auto"/>
          <w:sz w:val="24"/>
          <w:szCs w:val="24"/>
          <w:highlight w:val="none"/>
        </w:rPr>
        <w:t>南京市栖霞区文成路8-12号</w:t>
      </w:r>
      <w:r>
        <w:rPr>
          <w:rFonts w:hint="eastAsia" w:ascii="宋体" w:hAnsi="宋体" w:eastAsia="宋体" w:cs="Courier New"/>
          <w:color w:val="auto"/>
          <w:sz w:val="24"/>
          <w:szCs w:val="24"/>
          <w:highlight w:val="none"/>
        </w:rPr>
        <w:t>）</w:t>
      </w:r>
    </w:p>
    <w:p w14:paraId="40C45C7D">
      <w:pPr>
        <w:spacing w:line="360" w:lineRule="auto"/>
        <w:ind w:firstLine="420"/>
        <w:rPr>
          <w:rFonts w:ascii="Times New Roman" w:hAnsi="Times New Roman" w:eastAsia="宋体" w:cs="Times New Roman"/>
          <w:bCs/>
          <w:color w:val="auto"/>
          <w:sz w:val="24"/>
          <w:szCs w:val="21"/>
          <w:highlight w:val="none"/>
        </w:rPr>
      </w:pPr>
      <w:r>
        <w:rPr>
          <w:rFonts w:hint="eastAsia" w:ascii="宋体" w:hAnsi="宋体" w:eastAsia="宋体" w:cs="Courier New"/>
          <w:color w:val="auto"/>
          <w:sz w:val="24"/>
          <w:szCs w:val="24"/>
          <w:highlight w:val="none"/>
        </w:rPr>
        <w:t>（9）其他</w:t>
      </w:r>
    </w:p>
    <w:p w14:paraId="7E033B59">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一、总体要求</w:t>
      </w:r>
    </w:p>
    <w:p w14:paraId="5C46A343">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1、本项技术要求提出的是</w:t>
      </w:r>
      <w:r>
        <w:rPr>
          <w:rFonts w:hint="eastAsia" w:ascii="宋体" w:hAnsi="宋体" w:eastAsia="宋体" w:cs="宋体"/>
          <w:b/>
          <w:bCs/>
          <w:color w:val="auto"/>
          <w:sz w:val="24"/>
          <w:szCs w:val="24"/>
          <w:highlight w:val="none"/>
        </w:rPr>
        <w:t>最低限度</w:t>
      </w:r>
      <w:r>
        <w:rPr>
          <w:rFonts w:hint="eastAsia" w:ascii="宋体" w:hAnsi="宋体" w:eastAsia="宋体" w:cs="宋体"/>
          <w:bCs/>
          <w:color w:val="auto"/>
          <w:sz w:val="24"/>
          <w:szCs w:val="24"/>
          <w:highlight w:val="none"/>
        </w:rPr>
        <w:t>的技术条件。</w:t>
      </w:r>
    </w:p>
    <w:p w14:paraId="0D9BA64A">
      <w:pPr>
        <w:spacing w:line="360" w:lineRule="auto"/>
        <w:ind w:firstLine="482" w:firstLineChars="200"/>
        <w:rPr>
          <w:rFonts w:ascii="宋体" w:hAnsi="宋体" w:eastAsia="宋体" w:cs="宋体"/>
          <w:b/>
          <w:bCs/>
          <w:color w:val="auto"/>
          <w:sz w:val="24"/>
          <w:szCs w:val="24"/>
          <w:highlight w:val="none"/>
        </w:rPr>
      </w:pPr>
    </w:p>
    <w:p w14:paraId="6C16B54B">
      <w:pPr>
        <w:spacing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二、具体参数要求：</w:t>
      </w:r>
    </w:p>
    <w:p w14:paraId="53A750F3">
      <w:pPr>
        <w:spacing w:line="360" w:lineRule="auto"/>
        <w:ind w:firstLine="420"/>
        <w:rPr>
          <w:rFonts w:hint="eastAsia" w:ascii="宋体" w:hAnsi="宋体" w:eastAsia="宋体" w:cs="宋体"/>
          <w:b/>
          <w:bCs/>
          <w:color w:val="auto"/>
          <w:sz w:val="24"/>
          <w:szCs w:val="24"/>
          <w:highlight w:val="none"/>
        </w:rPr>
      </w:pP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lang w:val="en-US" w:eastAsia="zh-CN"/>
        </w:rPr>
        <w:t>一</w:t>
      </w: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lang w:val="en-US" w:eastAsia="zh-CN"/>
        </w:rPr>
        <w:t>1、门诊部维保设备数量及最低维保、加药次数</w:t>
      </w:r>
    </w:p>
    <w:tbl>
      <w:tblPr>
        <w:tblStyle w:val="60"/>
        <w:tblpPr w:leftFromText="180" w:rightFromText="180" w:vertAnchor="text" w:horzAnchor="page" w:tblpX="1668" w:tblpY="516"/>
        <w:tblOverlap w:val="never"/>
        <w:tblW w:w="8758" w:type="dxa"/>
        <w:tblInd w:w="0" w:type="dxa"/>
        <w:tblLayout w:type="fixed"/>
        <w:tblCellMar>
          <w:top w:w="0" w:type="dxa"/>
          <w:left w:w="0" w:type="dxa"/>
          <w:bottom w:w="0" w:type="dxa"/>
          <w:right w:w="0" w:type="dxa"/>
        </w:tblCellMar>
      </w:tblPr>
      <w:tblGrid>
        <w:gridCol w:w="3015"/>
        <w:gridCol w:w="1430"/>
        <w:gridCol w:w="1915"/>
        <w:gridCol w:w="2398"/>
      </w:tblGrid>
      <w:tr w14:paraId="55B63DC4">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2C7A">
            <w:pPr>
              <w:widowControl/>
              <w:jc w:val="center"/>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门诊名称</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A2AD">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3FC4">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设备数量</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4CE2">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次数/台/年</w:t>
            </w:r>
          </w:p>
        </w:tc>
      </w:tr>
      <w:tr w14:paraId="69093765">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3C49">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863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3F6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CA7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3889B021">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2BD0">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72B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D9D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F3E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792C8974">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B1AA">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CA8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38A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4B6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73077D3D">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4098">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E3D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3E6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291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0517B98B">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53DE">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224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8E0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1ED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5220B38A">
        <w:tblPrEx>
          <w:tblCellMar>
            <w:top w:w="0" w:type="dxa"/>
            <w:left w:w="0" w:type="dxa"/>
            <w:bottom w:w="0" w:type="dxa"/>
            <w:right w:w="0" w:type="dxa"/>
          </w:tblCellMar>
        </w:tblPrEx>
        <w:trPr>
          <w:trHeight w:val="418"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4D8E">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8C3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F5D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1ED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07A6C450">
        <w:tblPrEx>
          <w:tblCellMar>
            <w:top w:w="0" w:type="dxa"/>
            <w:left w:w="0" w:type="dxa"/>
            <w:bottom w:w="0" w:type="dxa"/>
            <w:right w:w="0" w:type="dxa"/>
          </w:tblCellMar>
        </w:tblPrEx>
        <w:trPr>
          <w:trHeight w:val="419"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FB04">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CD2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42C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BA9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5E9B5E49">
        <w:tblPrEx>
          <w:tblCellMar>
            <w:top w:w="0" w:type="dxa"/>
            <w:left w:w="0" w:type="dxa"/>
            <w:bottom w:w="0" w:type="dxa"/>
            <w:right w:w="0" w:type="dxa"/>
          </w:tblCellMar>
        </w:tblPrEx>
        <w:trPr>
          <w:trHeight w:val="419"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F4A8">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九门诊</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5F9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9EA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913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bl>
    <w:p w14:paraId="573C2B3E">
      <w:pPr>
        <w:spacing w:line="360" w:lineRule="auto"/>
        <w:ind w:firstLine="480" w:firstLineChars="200"/>
        <w:rPr>
          <w:rFonts w:hint="eastAsia" w:ascii="宋体" w:hAnsi="宋体" w:eastAsia="宋体" w:cs="宋体"/>
          <w:color w:val="auto"/>
          <w:sz w:val="24"/>
          <w:szCs w:val="24"/>
          <w:highlight w:val="none"/>
        </w:rPr>
      </w:pPr>
    </w:p>
    <w:p w14:paraId="7954083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2、维保设备</w:t>
      </w:r>
      <w:r>
        <w:rPr>
          <w:rFonts w:hint="eastAsia" w:ascii="宋体" w:hAnsi="宋体" w:eastAsia="宋体" w:cs="宋体"/>
          <w:color w:val="auto"/>
          <w:sz w:val="24"/>
          <w:szCs w:val="24"/>
          <w:highlight w:val="none"/>
        </w:rPr>
        <w:t>品牌：欧美克斯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产品名称：一体化小型医疗污水处理设备</w:t>
      </w:r>
      <w:r>
        <w:rPr>
          <w:rFonts w:hint="eastAsia" w:ascii="宋体" w:hAnsi="宋体" w:eastAsia="宋体" w:cs="宋体"/>
          <w:color w:val="auto"/>
          <w:sz w:val="24"/>
          <w:szCs w:val="24"/>
          <w:highlight w:val="none"/>
          <w:lang w:eastAsia="zh-CN"/>
        </w:rPr>
        <w:t>；</w:t>
      </w:r>
    </w:p>
    <w:p w14:paraId="62FFAF2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规格型号：OUMX  WS-03</w:t>
      </w:r>
      <w:r>
        <w:rPr>
          <w:rFonts w:hint="eastAsia" w:ascii="宋体" w:hAnsi="宋体" w:eastAsia="宋体" w:cs="宋体"/>
          <w:color w:val="auto"/>
          <w:sz w:val="24"/>
          <w:szCs w:val="24"/>
          <w:highlight w:val="none"/>
          <w:lang w:eastAsia="zh-CN"/>
        </w:rPr>
        <w:t>。</w:t>
      </w:r>
    </w:p>
    <w:p w14:paraId="39F0AD5B">
      <w:pPr>
        <w:spacing w:line="360" w:lineRule="auto"/>
        <w:ind w:firstLine="240" w:firstLineChars="100"/>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）维保内容</w:t>
      </w:r>
    </w:p>
    <w:p w14:paraId="45D3E9D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定期检查设备运行状态：查看设备的各项指标是否正常，电气配件接线是否老化、松动，检查设备的电路原件，如电机、继电器、交流接触器、消毒时间控制器、（污水收集池、消毒反应箱、消毒剂药箱液位传感器）等，确保电气原件正常工作，避免因电气故障导致设备停机。</w:t>
      </w:r>
    </w:p>
    <w:p w14:paraId="583E3A5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2、对污水设备的电源开关进行开关测试是否正常，如果不正常进行更换处理。</w:t>
      </w:r>
    </w:p>
    <w:p w14:paraId="5775DFE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3、污水设备提升泵手动/自动、消毒手动/自动、输送泵手动/自动开关进行开关测试是否正常，逐个对开关进行测试，发现不正常的及时进行更换处理。</w:t>
      </w:r>
    </w:p>
    <w:p w14:paraId="0FB5D8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4、污水设备的电动阀门进行开关闭合测试是否正常，如果不正常进行更换处理。</w:t>
      </w:r>
    </w:p>
    <w:p w14:paraId="0659695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5、对污水设备的手动阀门进行开关闭合测试是否正常，如果不正常进行更换处理。</w:t>
      </w:r>
    </w:p>
    <w:p w14:paraId="4F337E7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6、及时更换损坏的配件和耗材，确保设备处于良好的运行状态。</w:t>
      </w:r>
    </w:p>
    <w:p w14:paraId="5C47DE0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清洗设备内部：定期对设备内部进行清洗，去除积泥和杂物，防止堵塞和影响处理效果。对污水收集池（先将污水收集池污水进行消毒处理，处理完成达标后用自来水对污水收集池进行冲洗清理）、消毒反应箱（对污水设备消毒反应箱内进行清洗，打开消毒反应箱排空阀门进行排空，排空后用自来水进行清洗；）、自动排水电磁阀等部位清洗；对设备原水提升泵进行清理，防止泵内部腐蚀堵塞，拆卸污水原水提升泵，对污水提升泵进行仔细检查，清理泵上吸附的污物。</w:t>
      </w:r>
    </w:p>
    <w:p w14:paraId="3EDF88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8、药箱清理：根据使用频率，定期清理药箱。先把剩余药剂排净，然后用清水冲洗药箱内部，去除残留的药剂和杂质。检查药箱内壁是否有腐蚀、损坏情况，如有异常，记录并及时处理。</w:t>
      </w:r>
    </w:p>
    <w:p w14:paraId="5EA30E6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9、设备外观检查：查看设备表面是否清洁，有无灰尘、污渍及药剂残留。检查设备外壳是否有损坏、变形或腐蚀迹象。</w:t>
      </w:r>
    </w:p>
    <w:p w14:paraId="167BBE8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10、连接部位检查：查看各连接部位的管道、阀门、等是否牢固，无松动现象。检查密封件是否完好，有无渗漏。</w:t>
      </w:r>
    </w:p>
    <w:p w14:paraId="4D67ABB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11、做好设备维护与加药档案登记，认真做好每次检查、加药与维修记录，加药周期，更换配件及故障处理情况。维保期内如零配件损坏，只收取更换配件成本费用，不收取人工维修费。</w:t>
      </w:r>
    </w:p>
    <w:p w14:paraId="15508EA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12、配合医院、环保、疾控中心、市政排水管理等部门的监督管理，维持污水处理站及周边环境的卫生。</w:t>
      </w:r>
    </w:p>
    <w:p w14:paraId="6F7D4B81">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）加药与保养</w:t>
      </w:r>
    </w:p>
    <w:p w14:paraId="45D6B0F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1、根据口腔医院污水的水质特点和处理工艺，本设备采用的消毒药剂为10%的次氯酸钠。</w:t>
      </w:r>
    </w:p>
    <w:p w14:paraId="54FFF7C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2、污水消毒药箱的配药：先将消毒药箱进行自来水补水至100L，再把次氯酸钠消毒药剂慢慢投加进去，进行搅拌溶解。</w:t>
      </w:r>
    </w:p>
    <w:p w14:paraId="23BFD97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3、控制加药量：严格按照药剂的使用说明和设备的要求，控制加药量，确保药剂的投加量符合工艺要求，避免药剂过量或不足。</w:t>
      </w:r>
    </w:p>
    <w:p w14:paraId="1D280B9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4、定期校准加药设备：定期校准加药设备的计量装置，如计量泵、加药泵等，检查计量泵的流量准确性，调整计量参数，使其误差在允许范围内，保证药剂投加量的准确性。</w:t>
      </w:r>
    </w:p>
    <w:p w14:paraId="46558DA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5、在设备运行过程中，注意观察加药泵的运行状态，包括是否有异常噪音、振动或发热现象。</w:t>
      </w:r>
    </w:p>
    <w:p w14:paraId="486803C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6、加药泵保养：定期添加润滑油，以保证泵体内部零件得到良好的润滑。同时，检查泵的密封件，若有磨损及时更换，防止药剂泄漏。去除表面灰尘和杂物，确保散热良好。</w:t>
      </w:r>
    </w:p>
    <w:p w14:paraId="6E93012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7、药箱药剂储存情况：定期检查药剂的储存情况，确保药剂的质量和数量，避免药剂过期、变质或泄漏。</w:t>
      </w:r>
    </w:p>
    <w:p w14:paraId="2734C31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8、清理加药管道：定期清理加药管道，防止药剂在管道内沉淀、结晶或堵塞，影响药剂的正常投加。</w:t>
      </w:r>
    </w:p>
    <w:p w14:paraId="1A46DB8F">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）服务质量</w:t>
      </w:r>
    </w:p>
    <w:p w14:paraId="7A8CBD3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1、保证污水处理设备所需配件及耗材的储备，在进行维修保养过程中对有损坏或有缺陷的组件或零部件能够及时地得到修理和更换，确保紧急维修时效性。</w:t>
      </w:r>
    </w:p>
    <w:p w14:paraId="03583DB9">
      <w:pPr>
        <w:pStyle w:val="5"/>
        <w:adjustRightInd w:val="0"/>
        <w:snapToGrid w:val="0"/>
        <w:spacing w:line="360" w:lineRule="auto"/>
        <w:ind w:firstLine="528" w:firstLineChars="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在维保期间，凡发生运行工作问题，均能够及时上门进行维修服务，做出相应的应急处理方案，以保证设备正常运行。在维保期间，保证院部污水经处理后，排放水质达到《医疗机构水污染物排放标准》GB18466-2005预处理标准。</w:t>
      </w:r>
    </w:p>
    <w:p w14:paraId="6FA021B8">
      <w:pPr>
        <w:pStyle w:val="5"/>
        <w:adjustRightInd w:val="0"/>
        <w:snapToGrid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服务期内200元以内常用配件无偿更换</w:t>
      </w:r>
    </w:p>
    <w:tbl>
      <w:tblPr>
        <w:tblStyle w:val="60"/>
        <w:tblW w:w="6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70"/>
        <w:gridCol w:w="955"/>
        <w:gridCol w:w="1153"/>
      </w:tblGrid>
      <w:tr w14:paraId="5AB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3C82DAB7">
            <w:pPr>
              <w:widowControl/>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3870" w:type="dxa"/>
            <w:noWrap w:val="0"/>
            <w:vAlign w:val="center"/>
          </w:tcPr>
          <w:p w14:paraId="79BF9444">
            <w:pPr>
              <w:widowControl/>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名  称</w:t>
            </w:r>
          </w:p>
        </w:tc>
        <w:tc>
          <w:tcPr>
            <w:tcW w:w="955" w:type="dxa"/>
            <w:noWrap w:val="0"/>
            <w:vAlign w:val="center"/>
          </w:tcPr>
          <w:p w14:paraId="1292417E">
            <w:pPr>
              <w:widowControl/>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数量</w:t>
            </w:r>
          </w:p>
        </w:tc>
        <w:tc>
          <w:tcPr>
            <w:tcW w:w="1153" w:type="dxa"/>
            <w:noWrap w:val="0"/>
            <w:vAlign w:val="center"/>
          </w:tcPr>
          <w:p w14:paraId="767A1834">
            <w:pPr>
              <w:widowControl/>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单位</w:t>
            </w:r>
          </w:p>
        </w:tc>
      </w:tr>
      <w:tr w14:paraId="1D19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6F18AE2F">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870" w:type="dxa"/>
            <w:noWrap w:val="0"/>
            <w:vAlign w:val="center"/>
          </w:tcPr>
          <w:p w14:paraId="736185B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反应箱液位感应开关</w:t>
            </w:r>
          </w:p>
        </w:tc>
        <w:tc>
          <w:tcPr>
            <w:tcW w:w="955" w:type="dxa"/>
            <w:noWrap w:val="0"/>
            <w:vAlign w:val="center"/>
          </w:tcPr>
          <w:p w14:paraId="642F4C6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153" w:type="dxa"/>
            <w:noWrap w:val="0"/>
            <w:vAlign w:val="center"/>
          </w:tcPr>
          <w:p w14:paraId="54CBAE4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r>
      <w:tr w14:paraId="3B31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3446D57C">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3870" w:type="dxa"/>
            <w:noWrap w:val="0"/>
            <w:vAlign w:val="center"/>
          </w:tcPr>
          <w:p w14:paraId="5405174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转换</w:t>
            </w:r>
            <w:r>
              <w:rPr>
                <w:rFonts w:hint="eastAsia" w:ascii="宋体" w:hAnsi="宋体" w:eastAsia="宋体" w:cs="宋体"/>
                <w:color w:val="auto"/>
                <w:sz w:val="24"/>
                <w:szCs w:val="24"/>
                <w:highlight w:val="none"/>
              </w:rPr>
              <w:t>电源</w:t>
            </w:r>
          </w:p>
        </w:tc>
        <w:tc>
          <w:tcPr>
            <w:tcW w:w="955" w:type="dxa"/>
            <w:noWrap w:val="0"/>
            <w:vAlign w:val="center"/>
          </w:tcPr>
          <w:p w14:paraId="61467E18">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554B81A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r>
      <w:tr w14:paraId="7D74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12069C09">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870" w:type="dxa"/>
            <w:noWrap w:val="0"/>
            <w:vAlign w:val="center"/>
          </w:tcPr>
          <w:p w14:paraId="1404387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2P空气开关</w:t>
            </w:r>
          </w:p>
        </w:tc>
        <w:tc>
          <w:tcPr>
            <w:tcW w:w="955" w:type="dxa"/>
            <w:noWrap w:val="0"/>
            <w:vAlign w:val="center"/>
          </w:tcPr>
          <w:p w14:paraId="26CAAB4F">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3FC7A7F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3B23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452658B7">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870" w:type="dxa"/>
            <w:noWrap w:val="0"/>
            <w:vAlign w:val="center"/>
          </w:tcPr>
          <w:p w14:paraId="3F42AC3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交流接触器</w:t>
            </w:r>
          </w:p>
        </w:tc>
        <w:tc>
          <w:tcPr>
            <w:tcW w:w="955" w:type="dxa"/>
            <w:noWrap w:val="0"/>
            <w:vAlign w:val="center"/>
          </w:tcPr>
          <w:p w14:paraId="5A907B7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527C241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7D33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334C472D">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870" w:type="dxa"/>
            <w:noWrap w:val="0"/>
            <w:vAlign w:val="center"/>
          </w:tcPr>
          <w:p w14:paraId="7D66057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两档船型开关</w:t>
            </w:r>
          </w:p>
        </w:tc>
        <w:tc>
          <w:tcPr>
            <w:tcW w:w="955" w:type="dxa"/>
            <w:noWrap w:val="0"/>
            <w:vAlign w:val="center"/>
          </w:tcPr>
          <w:p w14:paraId="509DE0AE">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1CFF605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7BC8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0583BD6F">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3870" w:type="dxa"/>
            <w:noWrap w:val="0"/>
            <w:vAlign w:val="center"/>
          </w:tcPr>
          <w:p w14:paraId="4DB3DED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三档船型开关</w:t>
            </w:r>
          </w:p>
        </w:tc>
        <w:tc>
          <w:tcPr>
            <w:tcW w:w="955" w:type="dxa"/>
            <w:noWrap w:val="0"/>
            <w:vAlign w:val="center"/>
          </w:tcPr>
          <w:p w14:paraId="44807D7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153" w:type="dxa"/>
            <w:noWrap w:val="0"/>
            <w:vAlign w:val="center"/>
          </w:tcPr>
          <w:p w14:paraId="5755205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4FAB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top"/>
          </w:tcPr>
          <w:p w14:paraId="2794057B">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3870" w:type="dxa"/>
            <w:noWrap w:val="0"/>
            <w:vAlign w:val="center"/>
          </w:tcPr>
          <w:p w14:paraId="5AC9EEB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指示灯</w:t>
            </w:r>
          </w:p>
        </w:tc>
        <w:tc>
          <w:tcPr>
            <w:tcW w:w="955" w:type="dxa"/>
            <w:noWrap w:val="0"/>
            <w:vAlign w:val="center"/>
          </w:tcPr>
          <w:p w14:paraId="3C6C08DF">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153" w:type="dxa"/>
            <w:noWrap w:val="0"/>
            <w:vAlign w:val="center"/>
          </w:tcPr>
          <w:p w14:paraId="1EC4764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151D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top"/>
          </w:tcPr>
          <w:p w14:paraId="0EB1C346">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3870" w:type="dxa"/>
            <w:noWrap w:val="0"/>
            <w:vAlign w:val="center"/>
          </w:tcPr>
          <w:p w14:paraId="3ED7C69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蜂鸣器</w:t>
            </w:r>
          </w:p>
        </w:tc>
        <w:tc>
          <w:tcPr>
            <w:tcW w:w="955" w:type="dxa"/>
            <w:noWrap w:val="0"/>
            <w:vAlign w:val="center"/>
          </w:tcPr>
          <w:p w14:paraId="7D21AEA1">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02BB69B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r>
      <w:tr w14:paraId="75E9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62D6C3CA">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870" w:type="dxa"/>
            <w:noWrap w:val="0"/>
            <w:vAlign w:val="center"/>
          </w:tcPr>
          <w:p w14:paraId="315F005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控制器</w:t>
            </w:r>
          </w:p>
        </w:tc>
        <w:tc>
          <w:tcPr>
            <w:tcW w:w="955" w:type="dxa"/>
            <w:noWrap w:val="0"/>
            <w:vAlign w:val="center"/>
          </w:tcPr>
          <w:p w14:paraId="2FC2DCE7">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53" w:type="dxa"/>
            <w:noWrap w:val="0"/>
            <w:vAlign w:val="center"/>
          </w:tcPr>
          <w:p w14:paraId="4AF8207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套</w:t>
            </w:r>
          </w:p>
        </w:tc>
      </w:tr>
      <w:tr w14:paraId="1B3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2" w:type="dxa"/>
            <w:noWrap w:val="0"/>
            <w:vAlign w:val="center"/>
          </w:tcPr>
          <w:p w14:paraId="20B02715">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870" w:type="dxa"/>
            <w:noWrap w:val="0"/>
            <w:vAlign w:val="center"/>
          </w:tcPr>
          <w:p w14:paraId="1C382A1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中间继电器</w:t>
            </w:r>
          </w:p>
        </w:tc>
        <w:tc>
          <w:tcPr>
            <w:tcW w:w="955" w:type="dxa"/>
            <w:noWrap w:val="0"/>
            <w:vAlign w:val="center"/>
          </w:tcPr>
          <w:p w14:paraId="78B44A39">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153" w:type="dxa"/>
            <w:noWrap w:val="0"/>
            <w:vAlign w:val="center"/>
          </w:tcPr>
          <w:p w14:paraId="4C9B3ED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套</w:t>
            </w:r>
          </w:p>
        </w:tc>
      </w:tr>
    </w:tbl>
    <w:p w14:paraId="6F6BF460">
      <w:pPr>
        <w:pStyle w:val="5"/>
        <w:adjustRightInd w:val="0"/>
        <w:snapToGrid w:val="0"/>
        <w:spacing w:line="360" w:lineRule="auto"/>
        <w:ind w:firstLine="528" w:firstLineChars="22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供应商在运维期间发现污水处理系统设备需更换配件时，及时以维修单形式书面送达采购方。</w:t>
      </w:r>
      <w:r>
        <w:rPr>
          <w:rFonts w:hint="eastAsia" w:ascii="宋体" w:hAnsi="宋体" w:cs="宋体"/>
          <w:bCs/>
          <w:iCs/>
          <w:color w:val="auto"/>
          <w:sz w:val="24"/>
          <w:szCs w:val="24"/>
          <w:highlight w:val="none"/>
        </w:rPr>
        <w:t>更换与本项目匹配的</w:t>
      </w:r>
      <w:r>
        <w:rPr>
          <w:rFonts w:hint="eastAsia" w:ascii="宋体" w:hAnsi="宋体" w:cs="宋体"/>
          <w:color w:val="auto"/>
          <w:sz w:val="24"/>
          <w:szCs w:val="24"/>
          <w:highlight w:val="none"/>
        </w:rPr>
        <w:t>配件</w:t>
      </w:r>
      <w:r>
        <w:rPr>
          <w:rFonts w:hint="eastAsia" w:ascii="宋体" w:hAnsi="宋体" w:cs="宋体"/>
          <w:bCs/>
          <w:iCs/>
          <w:color w:val="auto"/>
          <w:sz w:val="24"/>
          <w:szCs w:val="24"/>
          <w:highlight w:val="none"/>
        </w:rPr>
        <w:t>，</w:t>
      </w:r>
      <w:r>
        <w:rPr>
          <w:rFonts w:hint="eastAsia" w:ascii="宋体" w:hAnsi="宋体" w:cs="宋体"/>
          <w:color w:val="auto"/>
          <w:sz w:val="24"/>
          <w:szCs w:val="24"/>
          <w:highlight w:val="none"/>
        </w:rPr>
        <w:t>包括但不限于以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清单所列项，并承诺</w:t>
      </w:r>
      <w:r>
        <w:rPr>
          <w:rFonts w:hint="eastAsia" w:ascii="宋体" w:hAnsi="宋体" w:cs="宋体"/>
          <w:color w:val="auto"/>
          <w:kern w:val="0"/>
          <w:sz w:val="24"/>
          <w:szCs w:val="24"/>
          <w:highlight w:val="none"/>
        </w:rPr>
        <w:t>不额外收取材料费及人</w:t>
      </w:r>
      <w:r>
        <w:rPr>
          <w:rFonts w:hint="eastAsia" w:ascii="宋体" w:hAnsi="宋体" w:cs="宋体"/>
          <w:color w:val="auto"/>
          <w:sz w:val="24"/>
          <w:szCs w:val="24"/>
          <w:highlight w:val="none"/>
        </w:rPr>
        <w:t>工费等，出具满足本项要求的承诺书并加盖公章。</w:t>
      </w:r>
    </w:p>
    <w:p w14:paraId="5655DB3F">
      <w:pPr>
        <w:pStyle w:val="5"/>
        <w:adjustRightInd w:val="0"/>
        <w:snapToGrid w:val="0"/>
        <w:spacing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估服务期内有可能需要有偿更换的配件，提供与本项目匹配的常用配件报价清单，报价清单应全面详细、价格合理，并承诺后期维修更换时价格不超过该报价，需列明配件的品牌、规格型号、单价等项（需求中已经列出的承诺免费更换的配件除外），并按采购人审计核定价进行结算，需提供满足本项要求的报价清单及承诺书并加盖公章。</w:t>
      </w:r>
    </w:p>
    <w:tbl>
      <w:tblPr>
        <w:tblStyle w:val="60"/>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478"/>
        <w:gridCol w:w="1105"/>
        <w:gridCol w:w="1333"/>
      </w:tblGrid>
      <w:tr w14:paraId="2D60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1" w:type="dxa"/>
            <w:noWrap w:val="0"/>
            <w:vAlign w:val="center"/>
          </w:tcPr>
          <w:p w14:paraId="714C1717">
            <w:pPr>
              <w:widowControl/>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478" w:type="dxa"/>
            <w:noWrap w:val="0"/>
            <w:vAlign w:val="center"/>
          </w:tcPr>
          <w:p w14:paraId="1B42A4EE">
            <w:pPr>
              <w:widowControl/>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1105" w:type="dxa"/>
            <w:noWrap w:val="0"/>
            <w:vAlign w:val="center"/>
          </w:tcPr>
          <w:p w14:paraId="7AE6DFD9">
            <w:pPr>
              <w:widowControl/>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333" w:type="dxa"/>
            <w:noWrap w:val="0"/>
            <w:vAlign w:val="center"/>
          </w:tcPr>
          <w:p w14:paraId="664495C5">
            <w:pPr>
              <w:widowControl/>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r>
      <w:tr w14:paraId="4CD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noWrap w:val="0"/>
            <w:vAlign w:val="center"/>
          </w:tcPr>
          <w:p w14:paraId="5CADE676">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478" w:type="dxa"/>
            <w:noWrap w:val="0"/>
            <w:vAlign w:val="center"/>
          </w:tcPr>
          <w:p w14:paraId="1F541C4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污水</w:t>
            </w:r>
            <w:r>
              <w:rPr>
                <w:rFonts w:hint="eastAsia" w:ascii="宋体" w:hAnsi="宋体" w:eastAsia="宋体" w:cs="宋体"/>
                <w:color w:val="auto"/>
                <w:sz w:val="24"/>
                <w:szCs w:val="24"/>
                <w:highlight w:val="none"/>
                <w:lang w:eastAsia="zh-CN"/>
              </w:rPr>
              <w:t>原水提升泵</w:t>
            </w:r>
          </w:p>
        </w:tc>
        <w:tc>
          <w:tcPr>
            <w:tcW w:w="1105" w:type="dxa"/>
            <w:noWrap w:val="0"/>
            <w:vAlign w:val="center"/>
          </w:tcPr>
          <w:p w14:paraId="6F39A5E0">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33" w:type="dxa"/>
            <w:noWrap w:val="0"/>
            <w:vAlign w:val="center"/>
          </w:tcPr>
          <w:p w14:paraId="41266D50">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r>
      <w:tr w14:paraId="319E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noWrap w:val="0"/>
            <w:vAlign w:val="center"/>
          </w:tcPr>
          <w:p w14:paraId="18713273">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4478" w:type="dxa"/>
            <w:noWrap w:val="0"/>
            <w:vAlign w:val="center"/>
          </w:tcPr>
          <w:p w14:paraId="1CA3C4B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排放电动阀</w:t>
            </w:r>
          </w:p>
        </w:tc>
        <w:tc>
          <w:tcPr>
            <w:tcW w:w="1105" w:type="dxa"/>
            <w:noWrap w:val="0"/>
            <w:vAlign w:val="center"/>
          </w:tcPr>
          <w:p w14:paraId="2143530E">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33" w:type="dxa"/>
            <w:noWrap w:val="0"/>
            <w:vAlign w:val="center"/>
          </w:tcPr>
          <w:p w14:paraId="2D032E0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r>
      <w:tr w14:paraId="65F1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1" w:type="dxa"/>
            <w:noWrap w:val="0"/>
            <w:vAlign w:val="center"/>
          </w:tcPr>
          <w:p w14:paraId="11F304B8">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4478" w:type="dxa"/>
            <w:noWrap w:val="0"/>
            <w:vAlign w:val="center"/>
          </w:tcPr>
          <w:p w14:paraId="12C47E6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储药箱</w:t>
            </w:r>
          </w:p>
        </w:tc>
        <w:tc>
          <w:tcPr>
            <w:tcW w:w="1105" w:type="dxa"/>
            <w:noWrap w:val="0"/>
            <w:vAlign w:val="center"/>
          </w:tcPr>
          <w:p w14:paraId="3493364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33" w:type="dxa"/>
            <w:noWrap w:val="0"/>
            <w:vAlign w:val="center"/>
          </w:tcPr>
          <w:p w14:paraId="113CBEB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r>
      <w:tr w14:paraId="1B3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81" w:type="dxa"/>
            <w:noWrap w:val="0"/>
            <w:vAlign w:val="center"/>
          </w:tcPr>
          <w:p w14:paraId="6A7472B7">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4478" w:type="dxa"/>
            <w:noWrap w:val="0"/>
            <w:vAlign w:val="center"/>
          </w:tcPr>
          <w:p w14:paraId="593648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CLO2</w:t>
            </w:r>
          </w:p>
          <w:p w14:paraId="7860DBF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加药系统</w:t>
            </w:r>
          </w:p>
        </w:tc>
        <w:tc>
          <w:tcPr>
            <w:tcW w:w="1105" w:type="dxa"/>
            <w:noWrap w:val="0"/>
            <w:vAlign w:val="center"/>
          </w:tcPr>
          <w:p w14:paraId="4797ABBB">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33" w:type="dxa"/>
            <w:noWrap w:val="0"/>
            <w:vAlign w:val="center"/>
          </w:tcPr>
          <w:p w14:paraId="0469B38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r>
      <w:tr w14:paraId="4CC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81" w:type="dxa"/>
            <w:noWrap w:val="0"/>
            <w:vAlign w:val="center"/>
          </w:tcPr>
          <w:p w14:paraId="02004C9A">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478" w:type="dxa"/>
            <w:noWrap w:val="0"/>
            <w:vAlign w:val="center"/>
          </w:tcPr>
          <w:p w14:paraId="37A138C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污水收集池液位感应开关</w:t>
            </w:r>
          </w:p>
        </w:tc>
        <w:tc>
          <w:tcPr>
            <w:tcW w:w="1105" w:type="dxa"/>
            <w:noWrap w:val="0"/>
            <w:vAlign w:val="center"/>
          </w:tcPr>
          <w:p w14:paraId="010F408D">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333" w:type="dxa"/>
            <w:noWrap w:val="0"/>
            <w:vAlign w:val="center"/>
          </w:tcPr>
          <w:p w14:paraId="29D343C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套</w:t>
            </w:r>
          </w:p>
        </w:tc>
      </w:tr>
      <w:tr w14:paraId="2CC0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81" w:type="dxa"/>
            <w:noWrap w:val="0"/>
            <w:vAlign w:val="center"/>
          </w:tcPr>
          <w:p w14:paraId="12168C2F">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478" w:type="dxa"/>
            <w:noWrap w:val="0"/>
            <w:vAlign w:val="center"/>
          </w:tcPr>
          <w:p w14:paraId="093DA677">
            <w:pPr>
              <w:spacing w:line="360" w:lineRule="auto"/>
              <w:jc w:val="center"/>
              <w:rPr>
                <w:rFonts w:hint="eastAsia" w:ascii="宋体" w:hAnsi="宋体" w:eastAsia="宋体" w:cs="宋体"/>
                <w:color w:val="auto"/>
                <w:sz w:val="24"/>
                <w:szCs w:val="24"/>
                <w:highlight w:val="none"/>
                <w:lang w:eastAsia="zh-CN"/>
              </w:rPr>
            </w:pPr>
          </w:p>
        </w:tc>
        <w:tc>
          <w:tcPr>
            <w:tcW w:w="1105" w:type="dxa"/>
            <w:noWrap w:val="0"/>
            <w:vAlign w:val="center"/>
          </w:tcPr>
          <w:p w14:paraId="5BB716D7">
            <w:pPr>
              <w:widowControl/>
              <w:spacing w:line="360" w:lineRule="auto"/>
              <w:jc w:val="center"/>
              <w:rPr>
                <w:rFonts w:hint="eastAsia" w:ascii="宋体" w:hAnsi="宋体" w:eastAsia="宋体" w:cs="宋体"/>
                <w:color w:val="auto"/>
                <w:sz w:val="24"/>
                <w:szCs w:val="24"/>
                <w:highlight w:val="none"/>
                <w:lang w:val="en-US" w:eastAsia="zh-CN"/>
              </w:rPr>
            </w:pPr>
          </w:p>
        </w:tc>
        <w:tc>
          <w:tcPr>
            <w:tcW w:w="1333" w:type="dxa"/>
            <w:noWrap w:val="0"/>
            <w:vAlign w:val="center"/>
          </w:tcPr>
          <w:p w14:paraId="7964BA5A">
            <w:pPr>
              <w:spacing w:line="360" w:lineRule="auto"/>
              <w:jc w:val="center"/>
              <w:rPr>
                <w:rFonts w:hint="eastAsia" w:ascii="宋体" w:hAnsi="宋体" w:eastAsia="宋体" w:cs="宋体"/>
                <w:color w:val="auto"/>
                <w:sz w:val="24"/>
                <w:szCs w:val="24"/>
                <w:highlight w:val="none"/>
                <w:lang w:eastAsia="zh-CN"/>
              </w:rPr>
            </w:pPr>
          </w:p>
        </w:tc>
      </w:tr>
    </w:tbl>
    <w:p w14:paraId="33303DF4">
      <w:pPr>
        <w:pStyle w:val="5"/>
        <w:adjustRightInd w:val="0"/>
        <w:snapToGrid w:val="0"/>
        <w:spacing w:line="360" w:lineRule="auto"/>
        <w:ind w:left="0" w:leftChars="0" w:firstLine="0" w:firstLineChars="0"/>
        <w:rPr>
          <w:rFonts w:hint="eastAsia" w:ascii="宋体" w:hAnsi="宋体" w:cs="宋体"/>
          <w:color w:val="auto"/>
          <w:sz w:val="24"/>
          <w:szCs w:val="24"/>
          <w:highlight w:val="none"/>
          <w:lang w:eastAsia="zh-CN"/>
        </w:rPr>
      </w:pPr>
    </w:p>
    <w:p w14:paraId="303D4286">
      <w:pPr>
        <w:keepNext/>
        <w:keepLines/>
        <w:spacing w:before="120" w:beforeLines="50" w:after="120" w:afterLines="50" w:line="440" w:lineRule="exact"/>
        <w:outlineLvl w:val="2"/>
        <w:rPr>
          <w:rFonts w:ascii="Calibri" w:hAnsi="Calibri" w:eastAsia="宋体" w:cs="Times New Roman"/>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Calibri" w:hAnsi="Calibri" w:eastAsia="宋体" w:cs="Times New Roman"/>
          <w:b/>
          <w:bCs/>
          <w:color w:val="auto"/>
          <w:sz w:val="24"/>
          <w:szCs w:val="24"/>
          <w:highlight w:val="none"/>
        </w:rPr>
        <w:t>商务要求</w:t>
      </w:r>
    </w:p>
    <w:p w14:paraId="1302DC7F">
      <w:pPr>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（一）服务期：</w:t>
      </w:r>
      <w:r>
        <w:rPr>
          <w:rFonts w:hint="eastAsia" w:ascii="宋体" w:hAnsi="宋体" w:eastAsia="宋体" w:cs="宋体"/>
          <w:bCs/>
          <w:color w:val="auto"/>
          <w:kern w:val="0"/>
          <w:sz w:val="24"/>
          <w:szCs w:val="24"/>
          <w:highlight w:val="none"/>
        </w:rPr>
        <w:t>三年，</w:t>
      </w:r>
      <w:r>
        <w:rPr>
          <w:rFonts w:hint="eastAsia" w:ascii="宋体" w:hAnsi="宋体" w:eastAsia="宋体" w:cs="Courier New"/>
          <w:color w:val="auto"/>
          <w:sz w:val="24"/>
          <w:szCs w:val="24"/>
          <w:highlight w:val="none"/>
        </w:rPr>
        <w:t>2025年9月1日至2028年8月31日</w:t>
      </w:r>
      <w:r>
        <w:rPr>
          <w:rFonts w:hint="eastAsia" w:ascii="宋体" w:hAnsi="宋体" w:eastAsia="宋体" w:cs="宋体"/>
          <w:bCs/>
          <w:color w:val="auto"/>
          <w:kern w:val="0"/>
          <w:sz w:val="24"/>
          <w:szCs w:val="24"/>
          <w:highlight w:val="none"/>
        </w:rPr>
        <w:t>，合同一年一签</w:t>
      </w:r>
    </w:p>
    <w:p w14:paraId="2B11A0BE">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（二）付款方式：</w:t>
      </w:r>
    </w:p>
    <w:p w14:paraId="4D9B078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eastAsia="zh-CN"/>
        </w:rPr>
        <w:t>院方确认服务良好，</w:t>
      </w:r>
      <w:r>
        <w:rPr>
          <w:rFonts w:hint="eastAsia" w:ascii="宋体" w:hAnsi="宋体" w:eastAsia="宋体" w:cs="宋体"/>
          <w:color w:val="auto"/>
          <w:sz w:val="24"/>
          <w:szCs w:val="24"/>
          <w:highlight w:val="none"/>
        </w:rPr>
        <w:t>每半年支付一次服务费，若增加门诊部，按相同单价进行结算。</w:t>
      </w:r>
    </w:p>
    <w:p w14:paraId="353E0FAC">
      <w:pPr>
        <w:spacing w:line="360" w:lineRule="auto"/>
        <w:ind w:firstLine="42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val="en-US" w:eastAsia="zh-CN"/>
        </w:rPr>
        <w:t>2、</w:t>
      </w:r>
      <w:r>
        <w:rPr>
          <w:rFonts w:hint="eastAsia" w:ascii="宋体" w:hAnsi="宋体" w:eastAsia="宋体" w:cs="Courier New"/>
          <w:color w:val="auto"/>
          <w:sz w:val="24"/>
          <w:szCs w:val="24"/>
          <w:highlight w:val="none"/>
        </w:rPr>
        <w:t>如发现污水抽样不合格，</w:t>
      </w:r>
      <w:r>
        <w:rPr>
          <w:rFonts w:hint="eastAsia" w:ascii="宋体" w:hAnsi="宋体" w:eastAsia="宋体" w:cs="Courier New"/>
          <w:color w:val="auto"/>
          <w:sz w:val="24"/>
          <w:szCs w:val="24"/>
          <w:highlight w:val="none"/>
          <w:lang w:eastAsia="zh-CN"/>
        </w:rPr>
        <w:t>供应商</w:t>
      </w:r>
      <w:r>
        <w:rPr>
          <w:rFonts w:hint="eastAsia" w:ascii="宋体" w:hAnsi="宋体" w:eastAsia="宋体" w:cs="Courier New"/>
          <w:color w:val="auto"/>
          <w:sz w:val="24"/>
          <w:szCs w:val="24"/>
          <w:highlight w:val="none"/>
        </w:rPr>
        <w:t>需立刻整改，三次检测仍不符合污水排放标准，</w:t>
      </w:r>
      <w:r>
        <w:rPr>
          <w:rFonts w:hint="eastAsia" w:ascii="宋体" w:hAnsi="宋体" w:eastAsia="宋体" w:cs="Courier New"/>
          <w:color w:val="auto"/>
          <w:sz w:val="24"/>
          <w:szCs w:val="24"/>
          <w:highlight w:val="none"/>
          <w:lang w:val="en-US" w:eastAsia="zh-CN"/>
        </w:rPr>
        <w:t>扣除半年服务费用并</w:t>
      </w:r>
      <w:r>
        <w:rPr>
          <w:rFonts w:hint="eastAsia" w:ascii="宋体" w:hAnsi="宋体" w:eastAsia="宋体" w:cs="Courier New"/>
          <w:color w:val="auto"/>
          <w:sz w:val="24"/>
          <w:szCs w:val="24"/>
          <w:highlight w:val="none"/>
        </w:rPr>
        <w:t>承担在维保过程中影响到门诊部正常工作所导致的责任及生态环境局、水务局等出具的处罚。</w:t>
      </w:r>
    </w:p>
    <w:p w14:paraId="4E5A5499">
      <w:pPr>
        <w:pStyle w:val="32"/>
        <w:rPr>
          <w:color w:val="auto"/>
          <w:highlight w:val="none"/>
        </w:rPr>
      </w:pPr>
    </w:p>
    <w:p w14:paraId="0D363AFB">
      <w:pPr>
        <w:adjustRightInd w:val="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四、其他要求：</w:t>
      </w:r>
    </w:p>
    <w:p w14:paraId="0C922134">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1、制订项目总体服务方案</w:t>
      </w:r>
    </w:p>
    <w:p w14:paraId="7A5D8BC1">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供应商应根据采购文件要求及本项目特点，制订项目总体服务方案，包括但不限于</w:t>
      </w:r>
      <w:r>
        <w:rPr>
          <w:rFonts w:hint="eastAsia" w:ascii="宋体" w:hAnsi="宋体" w:eastAsia="宋体" w:cs="宋体"/>
          <w:color w:val="auto"/>
          <w:kern w:val="0"/>
          <w:sz w:val="24"/>
          <w:szCs w:val="24"/>
          <w:highlight w:val="none"/>
        </w:rPr>
        <w:t>对服务重点、难点及应对措施，</w:t>
      </w:r>
      <w:r>
        <w:rPr>
          <w:rFonts w:hint="eastAsia" w:ascii="宋体" w:hAnsi="宋体" w:eastAsia="宋体" w:cs="宋体"/>
          <w:color w:val="auto"/>
          <w:sz w:val="24"/>
          <w:szCs w:val="24"/>
          <w:highlight w:val="none"/>
        </w:rPr>
        <w:t>应服从采购人管理要求。方案应做到完整全面、科学合理，具有针对性，切实可行。</w:t>
      </w:r>
    </w:p>
    <w:p w14:paraId="470CCB33">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2、制定项目</w:t>
      </w:r>
      <w:r>
        <w:rPr>
          <w:rFonts w:hint="eastAsia" w:ascii="宋体" w:hAnsi="宋体" w:eastAsia="宋体" w:cs="宋体"/>
          <w:b/>
          <w:bCs/>
          <w:color w:val="auto"/>
          <w:sz w:val="24"/>
          <w:szCs w:val="24"/>
          <w:highlight w:val="none"/>
        </w:rPr>
        <w:t>作业方案及措施</w:t>
      </w:r>
    </w:p>
    <w:p w14:paraId="2D2A94E2">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供应商应根据采购文件要求及本项目特点，</w:t>
      </w:r>
      <w:r>
        <w:rPr>
          <w:rFonts w:hint="eastAsia" w:ascii="宋体" w:hAnsi="宋体" w:eastAsia="宋体" w:cs="宋体"/>
          <w:bCs/>
          <w:color w:val="auto"/>
          <w:sz w:val="24"/>
          <w:szCs w:val="24"/>
          <w:highlight w:val="none"/>
        </w:rPr>
        <w:t>提供作业方案及措施，包括具体的</w:t>
      </w:r>
      <w:r>
        <w:rPr>
          <w:rFonts w:hint="eastAsia" w:ascii="宋体" w:hAnsi="宋体" w:eastAsia="宋体" w:cs="宋体"/>
          <w:color w:val="auto"/>
          <w:sz w:val="24"/>
          <w:szCs w:val="24"/>
          <w:highlight w:val="none"/>
        </w:rPr>
        <w:t>维护、保养，安全文明作业方案及措施，要求方案科学合理、内容完整、措施有力、切实可行。</w:t>
      </w:r>
    </w:p>
    <w:p w14:paraId="353329D9">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3、突发活动应急处置方案</w:t>
      </w:r>
    </w:p>
    <w:p w14:paraId="0A75D2DA">
      <w:pPr>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供应商应根据采购文件要求及本项目特点</w:t>
      </w:r>
      <w:r>
        <w:rPr>
          <w:rFonts w:hint="eastAsia" w:ascii="宋体" w:hAnsi="宋体" w:eastAsia="宋体" w:cs="宋体"/>
          <w:bCs/>
          <w:color w:val="auto"/>
          <w:sz w:val="24"/>
          <w:szCs w:val="24"/>
          <w:highlight w:val="none"/>
        </w:rPr>
        <w:t>，制订相应的</w:t>
      </w:r>
      <w:r>
        <w:rPr>
          <w:rFonts w:hint="eastAsia" w:ascii="宋体" w:hAnsi="宋体" w:eastAsia="宋体" w:cs="宋体"/>
          <w:color w:val="auto"/>
          <w:sz w:val="24"/>
          <w:szCs w:val="24"/>
          <w:highlight w:val="none"/>
        </w:rPr>
        <w:t>突发事件应急处置预案，包括针对本项目制定的突击保障任务和突发问题的响应时间、人员调动及处理方案的应对措施，要</w:t>
      </w:r>
      <w:r>
        <w:rPr>
          <w:rFonts w:hint="eastAsia" w:ascii="宋体" w:hAnsi="宋体" w:eastAsia="宋体" w:cs="宋体"/>
          <w:bCs/>
          <w:color w:val="auto"/>
          <w:sz w:val="24"/>
          <w:szCs w:val="24"/>
          <w:highlight w:val="none"/>
        </w:rPr>
        <w:t>求处理措施科学合理、可行、人员调动迅速、保障有效。</w:t>
      </w:r>
    </w:p>
    <w:p w14:paraId="54F1303D">
      <w:pPr>
        <w:adjustRightInd w:val="0"/>
        <w:snapToGrid w:val="0"/>
        <w:spacing w:line="360" w:lineRule="auto"/>
        <w:ind w:firstLine="482" w:firstLineChars="200"/>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4、日常巡检工作方案</w:t>
      </w:r>
    </w:p>
    <w:p w14:paraId="03592A2F">
      <w:pPr>
        <w:adjustRightInd w:val="0"/>
        <w:snapToGrid w:val="0"/>
        <w:spacing w:line="360" w:lineRule="auto"/>
        <w:ind w:firstLine="480" w:firstLineChars="200"/>
        <w:rPr>
          <w:rFonts w:ascii="宋体" w:hAnsi="宋体" w:eastAsia="宋体" w:cs="宋体"/>
          <w:color w:val="auto"/>
          <w:sz w:val="24"/>
          <w:szCs w:val="24"/>
          <w:highlight w:val="none"/>
        </w:rPr>
      </w:pPr>
      <w:bookmarkStart w:id="159" w:name="OLE_LINK8"/>
      <w:bookmarkStart w:id="160" w:name="OLE_LINK9"/>
      <w:r>
        <w:rPr>
          <w:rFonts w:hint="eastAsia" w:ascii="宋体" w:hAnsi="宋体" w:eastAsia="宋体" w:cs="宋体"/>
          <w:color w:val="auto"/>
          <w:sz w:val="24"/>
          <w:szCs w:val="24"/>
          <w:highlight w:val="none"/>
        </w:rPr>
        <w:t>供应商应根据采购文件要求及本项目特点，制订</w:t>
      </w:r>
      <w:bookmarkEnd w:id="159"/>
      <w:bookmarkEnd w:id="160"/>
      <w:r>
        <w:rPr>
          <w:rFonts w:hint="eastAsia" w:ascii="宋体" w:hAnsi="宋体" w:eastAsia="宋体" w:cs="宋体"/>
          <w:color w:val="auto"/>
          <w:sz w:val="24"/>
          <w:szCs w:val="24"/>
          <w:highlight w:val="none"/>
        </w:rPr>
        <w:t>日常巡检工作方案，包括针对本项目制定的日常巡检的内容、巡检的次数，要求方案科学合理、内容完整、措施有力、切实可行。</w:t>
      </w:r>
    </w:p>
    <w:p w14:paraId="63DA2BA3">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5、培训方案</w:t>
      </w:r>
    </w:p>
    <w:p w14:paraId="73AD3DD2">
      <w:pPr>
        <w:pStyle w:val="2"/>
        <w:ind w:firstLineChars="0"/>
        <w:rPr>
          <w:color w:val="auto"/>
          <w:highlight w:val="none"/>
        </w:rPr>
      </w:pPr>
      <w:r>
        <w:rPr>
          <w:rFonts w:hint="eastAsia" w:cs="宋体"/>
          <w:color w:val="auto"/>
          <w:highlight w:val="none"/>
        </w:rPr>
        <w:t>供应商应根据采购文件要求及本项目特点，制订</w:t>
      </w:r>
      <w:r>
        <w:rPr>
          <w:rFonts w:hint="eastAsia" w:asciiTheme="minorEastAsia" w:hAnsiTheme="minorEastAsia" w:eastAsiaTheme="minorEastAsia"/>
          <w:bCs/>
          <w:color w:val="auto"/>
          <w:highlight w:val="none"/>
        </w:rPr>
        <w:t>培训方案，供应商在接到采购人培训指令时，应在采购人规定的时间到达培训地点，对采购人相关管理人员进行免费现场培训。培训内容包括所投产品相关设备的基本操作原理、调试、使用和保养维修等。通过培训确保采购人的管理人员能够</w:t>
      </w:r>
      <w:r>
        <w:rPr>
          <w:rFonts w:hint="eastAsia" w:cs="宋体"/>
          <w:color w:val="auto"/>
          <w:highlight w:val="none"/>
        </w:rPr>
        <w:t>了解</w:t>
      </w:r>
      <w:r>
        <w:rPr>
          <w:rFonts w:hint="eastAsia" w:asciiTheme="minorEastAsia" w:hAnsiTheme="minorEastAsia" w:eastAsiaTheme="minorEastAsia"/>
          <w:bCs/>
          <w:color w:val="auto"/>
          <w:highlight w:val="none"/>
        </w:rPr>
        <w:t>系统的安装及配置，常见故障的解决办法。</w:t>
      </w:r>
    </w:p>
    <w:p w14:paraId="274BE0C5">
      <w:pPr>
        <w:spacing w:line="500" w:lineRule="exact"/>
        <w:rPr>
          <w:rFonts w:ascii="宋体" w:hAnsi="宋体" w:eastAsia="宋体" w:cs="宋体"/>
          <w:b/>
          <w:bCs/>
          <w:color w:val="auto"/>
          <w:sz w:val="24"/>
          <w:szCs w:val="24"/>
          <w:highlight w:val="none"/>
        </w:rPr>
      </w:pPr>
      <w:r>
        <w:rPr>
          <w:rFonts w:hint="eastAsia"/>
          <w:color w:val="auto"/>
          <w:highlight w:val="none"/>
        </w:rPr>
        <w:t xml:space="preserve">  </w:t>
      </w:r>
      <w:r>
        <w:rPr>
          <w:rFonts w:hint="eastAsia" w:ascii="宋体" w:hAnsi="宋体" w:eastAsia="宋体" w:cs="宋体"/>
          <w:b/>
          <w:bCs/>
          <w:color w:val="auto"/>
          <w:sz w:val="24"/>
          <w:szCs w:val="24"/>
          <w:highlight w:val="none"/>
        </w:rPr>
        <w:t xml:space="preserve">  6、</w:t>
      </w:r>
      <w:bookmarkStart w:id="161" w:name="OLE_LINK11"/>
      <w:bookmarkStart w:id="162" w:name="OLE_LINK10"/>
      <w:r>
        <w:rPr>
          <w:rFonts w:hint="eastAsia" w:ascii="宋体" w:hAnsi="宋体" w:eastAsia="宋体" w:cs="宋体"/>
          <w:b/>
          <w:bCs/>
          <w:color w:val="auto"/>
          <w:sz w:val="24"/>
          <w:szCs w:val="24"/>
          <w:highlight w:val="none"/>
        </w:rPr>
        <w:t>售后服务方案</w:t>
      </w:r>
      <w:bookmarkEnd w:id="161"/>
      <w:bookmarkEnd w:id="162"/>
    </w:p>
    <w:p w14:paraId="3C40CE98">
      <w:pPr>
        <w:spacing w:line="500" w:lineRule="exact"/>
        <w:ind w:firstLine="480" w:firstLineChars="200"/>
        <w:rPr>
          <w:rFonts w:hint="eastAsia" w:ascii="宋体" w:hAnsi="宋体"/>
          <w:color w:val="auto"/>
          <w:sz w:val="24"/>
          <w:szCs w:val="24"/>
          <w:highlight w:val="none"/>
        </w:rPr>
      </w:pPr>
      <w:bookmarkStart w:id="163" w:name="OLE_LINK65"/>
      <w:bookmarkStart w:id="164" w:name="OLE_LINK66"/>
      <w:r>
        <w:rPr>
          <w:rFonts w:hint="eastAsia" w:ascii="宋体" w:hAnsi="宋体"/>
          <w:color w:val="auto"/>
          <w:sz w:val="24"/>
          <w:szCs w:val="24"/>
          <w:highlight w:val="none"/>
        </w:rPr>
        <w:t>供应商</w:t>
      </w:r>
      <w:bookmarkEnd w:id="163"/>
      <w:bookmarkEnd w:id="164"/>
      <w:r>
        <w:rPr>
          <w:rFonts w:hint="eastAsia" w:ascii="宋体" w:hAnsi="宋体"/>
          <w:color w:val="auto"/>
          <w:sz w:val="24"/>
          <w:szCs w:val="24"/>
          <w:highlight w:val="none"/>
        </w:rPr>
        <w:t>应根据采购文件要求并结合本项目特点，提供具体详实的质保承诺及售后服务方案，售后服务体系、售后人员力量、售后承诺、售后响应时间及处理时间，方案应完整、合理、可行性。</w:t>
      </w:r>
    </w:p>
    <w:p w14:paraId="739B9549">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7、个人防护方案</w:t>
      </w:r>
    </w:p>
    <w:p w14:paraId="22DA8C24">
      <w:pPr>
        <w:adjustRightInd w:val="0"/>
        <w:snapToGrid w:val="0"/>
        <w:spacing w:line="360" w:lineRule="auto"/>
        <w:ind w:firstLine="480" w:firstLineChars="200"/>
        <w:rPr>
          <w:rFonts w:ascii="宋体" w:hAnsi="宋体" w:cs="宋体"/>
          <w:b/>
          <w:color w:val="auto"/>
          <w:sz w:val="24"/>
          <w:szCs w:val="24"/>
          <w:highlight w:val="none"/>
        </w:rPr>
      </w:pPr>
      <w:r>
        <w:rPr>
          <w:rFonts w:hint="eastAsia" w:ascii="宋体" w:hAnsi="宋体"/>
          <w:color w:val="auto"/>
          <w:sz w:val="24"/>
          <w:szCs w:val="24"/>
          <w:highlight w:val="none"/>
        </w:rPr>
        <w:t>供应商应根据采购文件要求并结合本项目特点，提供具体详实的</w:t>
      </w:r>
      <w:r>
        <w:rPr>
          <w:rFonts w:hint="eastAsia" w:ascii="宋体" w:hAnsi="宋体"/>
          <w:color w:val="auto"/>
          <w:sz w:val="24"/>
          <w:szCs w:val="24"/>
          <w:highlight w:val="none"/>
          <w:lang w:val="en-US" w:eastAsia="zh-CN"/>
        </w:rPr>
        <w:t>维保、加药期间个人防护</w:t>
      </w:r>
      <w:r>
        <w:rPr>
          <w:rFonts w:hint="eastAsia" w:ascii="宋体" w:hAnsi="宋体"/>
          <w:color w:val="auto"/>
          <w:sz w:val="24"/>
          <w:szCs w:val="24"/>
          <w:highlight w:val="none"/>
        </w:rPr>
        <w:t>方案，</w:t>
      </w:r>
      <w:r>
        <w:rPr>
          <w:rFonts w:hint="eastAsia" w:ascii="宋体" w:hAnsi="宋体" w:cs="宋体"/>
          <w:color w:val="auto"/>
          <w:sz w:val="24"/>
          <w:szCs w:val="24"/>
          <w:highlight w:val="none"/>
        </w:rPr>
        <w:t>包括针对本项目制定的</w:t>
      </w:r>
      <w:r>
        <w:rPr>
          <w:rFonts w:hint="eastAsia" w:ascii="宋体" w:hAnsi="宋体" w:cs="宋体"/>
          <w:color w:val="auto"/>
          <w:sz w:val="24"/>
          <w:szCs w:val="24"/>
          <w:highlight w:val="none"/>
          <w:lang w:val="en-US" w:eastAsia="zh-CN"/>
        </w:rPr>
        <w:t>个人防护用品、穿戴规范、安全意识培训等。</w:t>
      </w:r>
      <w:r>
        <w:rPr>
          <w:rFonts w:hint="eastAsia" w:ascii="宋体" w:hAnsi="宋体" w:cs="宋体"/>
          <w:bCs/>
          <w:color w:val="auto"/>
          <w:sz w:val="24"/>
          <w:szCs w:val="24"/>
          <w:highlight w:val="none"/>
        </w:rPr>
        <w:t>服务方案应内容详实、科学合理、具备针对性、切实可行。</w:t>
      </w:r>
    </w:p>
    <w:p w14:paraId="3452F6F8">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响应人履约能力</w:t>
      </w:r>
    </w:p>
    <w:p w14:paraId="05D203DF">
      <w:pPr>
        <w:spacing w:line="5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bCs/>
          <w:color w:val="auto"/>
          <w:sz w:val="24"/>
          <w:highlight w:val="none"/>
          <w:lang w:val="en-US" w:eastAsia="zh-CN"/>
        </w:rPr>
        <w:t>8.1</w:t>
      </w:r>
      <w:r>
        <w:rPr>
          <w:rFonts w:hint="eastAsia" w:ascii="宋体" w:hAnsi="宋体" w:eastAsia="宋体" w:cs="宋体"/>
          <w:bCs/>
          <w:color w:val="auto"/>
          <w:sz w:val="24"/>
          <w:highlight w:val="none"/>
        </w:rPr>
        <w:t>响应供应商</w:t>
      </w:r>
      <w:r>
        <w:rPr>
          <w:rFonts w:hint="eastAsia" w:ascii="宋体" w:hAnsi="宋体" w:eastAsia="宋体" w:cs="宋体"/>
          <w:bCs/>
          <w:color w:val="auto"/>
          <w:sz w:val="24"/>
          <w:highlight w:val="none"/>
          <w:lang w:eastAsia="zh-CN"/>
        </w:rPr>
        <w:t>需提供</w:t>
      </w:r>
      <w:r>
        <w:rPr>
          <w:rFonts w:hint="eastAsia" w:ascii="宋体" w:hAnsi="宋体" w:eastAsia="宋体" w:cs="宋体"/>
          <w:bCs/>
          <w:color w:val="auto"/>
          <w:sz w:val="24"/>
          <w:highlight w:val="none"/>
        </w:rPr>
        <w:t>自2021年1月1日以来承担过的类似污水处理设备维保、加药服务业绩</w:t>
      </w:r>
      <w:r>
        <w:rPr>
          <w:rFonts w:hint="eastAsia" w:ascii="宋体" w:hAnsi="宋体" w:eastAsia="宋体" w:cs="宋体"/>
          <w:bCs/>
          <w:color w:val="auto"/>
          <w:sz w:val="24"/>
          <w:highlight w:val="none"/>
          <w:lang w:eastAsia="zh-CN"/>
        </w:rPr>
        <w:t>。</w:t>
      </w:r>
    </w:p>
    <w:p w14:paraId="795FA82B">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p>
    <w:p w14:paraId="25628313">
      <w:pPr>
        <w:rPr>
          <w:rFonts w:hint="eastAsia"/>
          <w:b/>
          <w:color w:val="auto"/>
          <w:sz w:val="40"/>
          <w:szCs w:val="44"/>
          <w:highlight w:val="none"/>
          <w:lang w:val="en-US" w:eastAsia="zh-CN"/>
        </w:rPr>
      </w:pPr>
    </w:p>
    <w:p w14:paraId="1A524C3E">
      <w:pPr>
        <w:rPr>
          <w:rFonts w:hint="eastAsia"/>
          <w:b/>
          <w:color w:val="auto"/>
          <w:sz w:val="40"/>
          <w:szCs w:val="44"/>
          <w:highlight w:val="none"/>
          <w:lang w:val="en-US" w:eastAsia="zh-CN"/>
        </w:rPr>
      </w:pPr>
    </w:p>
    <w:p w14:paraId="1EEB5A24">
      <w:pPr>
        <w:rPr>
          <w:rFonts w:hint="eastAsia"/>
          <w:b/>
          <w:color w:val="auto"/>
          <w:sz w:val="40"/>
          <w:szCs w:val="44"/>
          <w:highlight w:val="none"/>
          <w:lang w:val="en-US" w:eastAsia="zh-CN"/>
        </w:rPr>
      </w:pPr>
    </w:p>
    <w:p w14:paraId="466180E4">
      <w:pPr>
        <w:rPr>
          <w:rFonts w:hint="eastAsia"/>
          <w:b/>
          <w:color w:val="auto"/>
          <w:sz w:val="40"/>
          <w:szCs w:val="44"/>
          <w:highlight w:val="none"/>
          <w:lang w:val="en-US" w:eastAsia="zh-CN"/>
        </w:rPr>
      </w:pPr>
    </w:p>
    <w:p w14:paraId="01F25F0E">
      <w:pPr>
        <w:rPr>
          <w:rFonts w:hint="eastAsia"/>
          <w:b/>
          <w:color w:val="auto"/>
          <w:sz w:val="40"/>
          <w:szCs w:val="44"/>
          <w:highlight w:val="none"/>
          <w:lang w:val="en-US" w:eastAsia="zh-CN"/>
        </w:rPr>
      </w:pPr>
    </w:p>
    <w:p w14:paraId="52C554FB">
      <w:pPr>
        <w:rPr>
          <w:rFonts w:hint="eastAsia"/>
          <w:b/>
          <w:color w:val="auto"/>
          <w:sz w:val="40"/>
          <w:szCs w:val="44"/>
          <w:highlight w:val="none"/>
          <w:lang w:val="en-US" w:eastAsia="zh-CN"/>
        </w:rPr>
      </w:pPr>
    </w:p>
    <w:p w14:paraId="1F077F01">
      <w:pPr>
        <w:rPr>
          <w:rFonts w:hint="eastAsia"/>
          <w:b/>
          <w:color w:val="auto"/>
          <w:sz w:val="40"/>
          <w:szCs w:val="44"/>
          <w:highlight w:val="none"/>
          <w:lang w:val="en-US" w:eastAsia="zh-CN"/>
        </w:rPr>
      </w:pPr>
    </w:p>
    <w:p w14:paraId="63A829CB">
      <w:pPr>
        <w:rPr>
          <w:rFonts w:hint="eastAsia"/>
          <w:b/>
          <w:color w:val="auto"/>
          <w:sz w:val="40"/>
          <w:szCs w:val="44"/>
          <w:highlight w:val="none"/>
          <w:lang w:val="en-US" w:eastAsia="zh-CN"/>
        </w:rPr>
      </w:pPr>
    </w:p>
    <w:p w14:paraId="7B52BE91">
      <w:pPr>
        <w:rPr>
          <w:rFonts w:hint="eastAsia"/>
          <w:b/>
          <w:color w:val="auto"/>
          <w:sz w:val="40"/>
          <w:szCs w:val="44"/>
          <w:highlight w:val="none"/>
          <w:lang w:val="en-US" w:eastAsia="zh-CN"/>
        </w:rPr>
      </w:pPr>
    </w:p>
    <w:p w14:paraId="2E6B1C86">
      <w:pPr>
        <w:rPr>
          <w:rFonts w:hint="eastAsia"/>
          <w:b/>
          <w:color w:val="auto"/>
          <w:sz w:val="40"/>
          <w:szCs w:val="44"/>
          <w:highlight w:val="none"/>
          <w:lang w:val="en-US" w:eastAsia="zh-CN"/>
        </w:rPr>
      </w:pPr>
    </w:p>
    <w:p w14:paraId="3300E644">
      <w:pPr>
        <w:widowControl/>
        <w:jc w:val="left"/>
        <w:rPr>
          <w:rFonts w:ascii="宋体" w:hAnsi="宋体" w:eastAsia="宋体" w:cs="Times New Roman"/>
          <w:color w:val="auto"/>
          <w:sz w:val="25"/>
          <w:szCs w:val="21"/>
          <w:highlight w:val="none"/>
        </w:rPr>
      </w:pPr>
    </w:p>
    <w:p w14:paraId="7F372D26">
      <w:pPr>
        <w:pStyle w:val="2"/>
        <w:rPr>
          <w:rFonts w:ascii="宋体" w:hAnsi="宋体" w:eastAsia="宋体" w:cs="Times New Roman"/>
          <w:color w:val="auto"/>
          <w:sz w:val="25"/>
          <w:szCs w:val="21"/>
          <w:highlight w:val="none"/>
        </w:rPr>
      </w:pPr>
    </w:p>
    <w:p w14:paraId="74481BFE">
      <w:pPr>
        <w:pStyle w:val="2"/>
        <w:rPr>
          <w:rFonts w:ascii="宋体" w:hAnsi="宋体" w:eastAsia="宋体" w:cs="Times New Roman"/>
          <w:color w:val="auto"/>
          <w:sz w:val="25"/>
          <w:szCs w:val="21"/>
          <w:highlight w:val="none"/>
        </w:rPr>
      </w:pPr>
    </w:p>
    <w:p w14:paraId="5E3FE583">
      <w:pPr>
        <w:pStyle w:val="2"/>
        <w:rPr>
          <w:rFonts w:ascii="宋体" w:hAnsi="宋体" w:eastAsia="宋体" w:cs="Times New Roman"/>
          <w:color w:val="auto"/>
          <w:sz w:val="25"/>
          <w:szCs w:val="21"/>
          <w:highlight w:val="none"/>
        </w:rPr>
      </w:pPr>
    </w:p>
    <w:p w14:paraId="4EE98D12">
      <w:pPr>
        <w:pStyle w:val="2"/>
        <w:rPr>
          <w:rFonts w:ascii="宋体" w:hAnsi="宋体" w:eastAsia="宋体" w:cs="Times New Roman"/>
          <w:color w:val="auto"/>
          <w:sz w:val="25"/>
          <w:szCs w:val="21"/>
          <w:highlight w:val="none"/>
        </w:rPr>
      </w:pPr>
    </w:p>
    <w:p w14:paraId="729BEEAE">
      <w:pPr>
        <w:pStyle w:val="2"/>
        <w:rPr>
          <w:rFonts w:ascii="宋体" w:hAnsi="宋体" w:eastAsia="宋体" w:cs="Times New Roman"/>
          <w:color w:val="auto"/>
          <w:sz w:val="25"/>
          <w:szCs w:val="21"/>
          <w:highlight w:val="none"/>
        </w:rPr>
      </w:pPr>
    </w:p>
    <w:p w14:paraId="00A70690">
      <w:pPr>
        <w:pStyle w:val="2"/>
        <w:rPr>
          <w:rFonts w:ascii="宋体" w:hAnsi="宋体" w:eastAsia="宋体" w:cs="Times New Roman"/>
          <w:color w:val="auto"/>
          <w:sz w:val="25"/>
          <w:szCs w:val="21"/>
          <w:highlight w:val="none"/>
        </w:rPr>
      </w:pPr>
    </w:p>
    <w:p w14:paraId="1302BF1C">
      <w:pPr>
        <w:pStyle w:val="2"/>
        <w:rPr>
          <w:rFonts w:ascii="宋体" w:hAnsi="宋体" w:eastAsia="宋体" w:cs="Times New Roman"/>
          <w:color w:val="auto"/>
          <w:sz w:val="25"/>
          <w:szCs w:val="21"/>
          <w:highlight w:val="none"/>
        </w:rPr>
      </w:pPr>
    </w:p>
    <w:p w14:paraId="5F93B731">
      <w:pPr>
        <w:snapToGrid w:val="0"/>
        <w:spacing w:line="360" w:lineRule="auto"/>
        <w:rPr>
          <w:rFonts w:ascii="宋体" w:hAnsi="宋体" w:eastAsia="宋体" w:cs="Times New Roman"/>
          <w:color w:val="auto"/>
          <w:sz w:val="25"/>
          <w:szCs w:val="21"/>
          <w:highlight w:val="none"/>
          <w:lang w:val="zh-CN"/>
        </w:rPr>
      </w:pPr>
    </w:p>
    <w:p w14:paraId="4A3E2A9F">
      <w:pPr>
        <w:keepNext/>
        <w:jc w:val="center"/>
        <w:outlineLvl w:val="0"/>
        <w:rPr>
          <w:rFonts w:ascii="黑体" w:hAnsi="Times New Roman" w:eastAsia="黑体" w:cs="Times New Roman"/>
          <w:bCs/>
          <w:color w:val="auto"/>
          <w:sz w:val="44"/>
          <w:szCs w:val="28"/>
          <w:highlight w:val="none"/>
        </w:rPr>
      </w:pPr>
      <w:bookmarkStart w:id="165" w:name="_Toc401414769"/>
      <w:r>
        <w:rPr>
          <w:rFonts w:hint="eastAsia" w:ascii="黑体" w:hAnsi="Times New Roman" w:eastAsia="黑体" w:cs="Times New Roman"/>
          <w:bCs/>
          <w:color w:val="auto"/>
          <w:sz w:val="44"/>
          <w:szCs w:val="28"/>
          <w:highlight w:val="none"/>
        </w:rPr>
        <w:t xml:space="preserve">第五章  </w:t>
      </w:r>
      <w:r>
        <w:rPr>
          <w:rFonts w:hint="eastAsia" w:ascii="黑体" w:hAnsi="Times New Roman" w:eastAsia="黑体" w:cs="Times New Roman"/>
          <w:b/>
          <w:bCs/>
          <w:color w:val="auto"/>
          <w:sz w:val="44"/>
          <w:szCs w:val="28"/>
          <w:highlight w:val="none"/>
        </w:rPr>
        <w:t>成交标准</w:t>
      </w:r>
    </w:p>
    <w:p w14:paraId="09548636">
      <w:pPr>
        <w:snapToGrid w:val="0"/>
        <w:spacing w:line="360" w:lineRule="auto"/>
        <w:rPr>
          <w:rFonts w:ascii="宋体" w:hAnsi="宋体" w:eastAsia="宋体" w:cs="Times New Roman"/>
          <w:b/>
          <w:bCs/>
          <w:color w:val="auto"/>
          <w:sz w:val="32"/>
          <w:szCs w:val="24"/>
          <w:highlight w:val="none"/>
        </w:rPr>
      </w:pPr>
    </w:p>
    <w:p w14:paraId="7806AC39">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一、评标方法与定标原则</w:t>
      </w:r>
    </w:p>
    <w:p w14:paraId="12D4378F">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评审小组将对确定为实质性响应采购文件要求的响应文件进行评价和比较，评标采用综合评分法。</w:t>
      </w:r>
      <w:r>
        <w:rPr>
          <w:rFonts w:ascii="宋体" w:hAnsi="宋体" w:eastAsia="宋体" w:cs="Times New Roman"/>
          <w:bCs/>
          <w:color w:val="auto"/>
          <w:sz w:val="24"/>
          <w:szCs w:val="24"/>
          <w:highlight w:val="none"/>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5008ECFD">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二、评标标准</w:t>
      </w:r>
    </w:p>
    <w:p w14:paraId="7417DB1D">
      <w:pPr>
        <w:snapToGrid w:val="0"/>
        <w:spacing w:line="360" w:lineRule="auto"/>
        <w:ind w:firstLine="482"/>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本项目采用综合评分法确定成交候选人。评标委员会将按下列评分办法和标准进行评分，总分值为100分。</w:t>
      </w:r>
    </w:p>
    <w:p w14:paraId="05EC3EF3">
      <w:pPr>
        <w:numPr>
          <w:ilvl w:val="0"/>
          <w:numId w:val="3"/>
        </w:numPr>
        <w:snapToGrid w:val="0"/>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价格分（</w:t>
      </w: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4</w:t>
      </w:r>
      <w:r>
        <w:rPr>
          <w:rFonts w:ascii="宋体" w:hAnsi="宋体" w:eastAsia="宋体" w:cs="Times New Roman"/>
          <w:b/>
          <w:bCs/>
          <w:color w:val="auto"/>
          <w:sz w:val="24"/>
          <w:szCs w:val="24"/>
          <w:highlight w:val="none"/>
        </w:rPr>
        <w:t>分）</w:t>
      </w:r>
    </w:p>
    <w:p w14:paraId="43BC930B">
      <w:pPr>
        <w:adjustRightInd w:val="0"/>
        <w:snapToGrid w:val="0"/>
        <w:spacing w:line="440" w:lineRule="exact"/>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价格分采用低价优先法计算，即满足采购文件要求且</w:t>
      </w:r>
      <w:r>
        <w:rPr>
          <w:rFonts w:hint="eastAsia" w:ascii="宋体" w:hAnsi="宋体" w:eastAsia="宋体" w:cs="Times New Roman"/>
          <w:bCs/>
          <w:color w:val="auto"/>
          <w:sz w:val="24"/>
          <w:szCs w:val="24"/>
          <w:highlight w:val="none"/>
        </w:rPr>
        <w:t>响应价格</w:t>
      </w:r>
      <w:r>
        <w:rPr>
          <w:rFonts w:ascii="宋体" w:hAnsi="宋体" w:eastAsia="宋体" w:cs="Times New Roman"/>
          <w:bCs/>
          <w:color w:val="auto"/>
          <w:sz w:val="24"/>
          <w:szCs w:val="24"/>
          <w:highlight w:val="none"/>
        </w:rPr>
        <w:t>最低的供应商</w:t>
      </w:r>
      <w:r>
        <w:rPr>
          <w:rFonts w:hint="eastAsia" w:ascii="宋体" w:hAnsi="宋体" w:eastAsia="宋体" w:cs="Times New Roman"/>
          <w:bCs/>
          <w:color w:val="auto"/>
          <w:sz w:val="24"/>
          <w:szCs w:val="24"/>
          <w:highlight w:val="none"/>
        </w:rPr>
        <w:t>响应</w:t>
      </w:r>
      <w:r>
        <w:rPr>
          <w:rFonts w:ascii="宋体" w:hAnsi="宋体" w:eastAsia="宋体" w:cs="Times New Roman"/>
          <w:bCs/>
          <w:color w:val="auto"/>
          <w:sz w:val="24"/>
          <w:szCs w:val="24"/>
          <w:highlight w:val="none"/>
        </w:rPr>
        <w:t>报价为评标基准价，其价格分为满分</w:t>
      </w:r>
      <w:r>
        <w:rPr>
          <w:rFonts w:hint="eastAsia"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lang w:val="en-US" w:eastAsia="zh-CN"/>
        </w:rPr>
        <w:t>4</w:t>
      </w:r>
      <w:r>
        <w:rPr>
          <w:rFonts w:ascii="宋体" w:hAnsi="宋体" w:eastAsia="宋体" w:cs="Times New Roman"/>
          <w:bCs/>
          <w:color w:val="auto"/>
          <w:sz w:val="24"/>
          <w:szCs w:val="24"/>
          <w:highlight w:val="none"/>
        </w:rPr>
        <w:t>分，其它响应人的价格分统一按照以下公式计算：响应报价得分=（评标基准价/该响应人的响应报价）×</w:t>
      </w:r>
      <w:r>
        <w:rPr>
          <w:rFonts w:hint="eastAsia" w:ascii="宋体" w:hAnsi="宋体" w:eastAsia="宋体" w:cs="Times New Roman"/>
          <w:bCs/>
          <w:color w:val="auto"/>
          <w:sz w:val="24"/>
          <w:szCs w:val="24"/>
          <w:highlight w:val="none"/>
          <w:lang w:val="en-US" w:eastAsia="zh-CN"/>
        </w:rPr>
        <w:t>14</w:t>
      </w:r>
      <w:r>
        <w:rPr>
          <w:rFonts w:ascii="宋体" w:hAnsi="宋体" w:eastAsia="宋体" w:cs="Times New Roman"/>
          <w:bCs/>
          <w:color w:val="auto"/>
          <w:sz w:val="24"/>
          <w:szCs w:val="24"/>
          <w:highlight w:val="none"/>
        </w:rPr>
        <w:t>分。分值保留小数点后</w:t>
      </w: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位</w:t>
      </w:r>
      <w:r>
        <w:rPr>
          <w:rFonts w:hint="eastAsia" w:ascii="宋体" w:hAnsi="宋体" w:eastAsia="宋体" w:cs="Times New Roman"/>
          <w:bCs/>
          <w:color w:val="auto"/>
          <w:sz w:val="24"/>
          <w:szCs w:val="24"/>
          <w:highlight w:val="none"/>
        </w:rPr>
        <w:t>。</w:t>
      </w:r>
    </w:p>
    <w:bookmarkEnd w:id="165"/>
    <w:p w14:paraId="486E014C">
      <w:pPr>
        <w:snapToGrid w:val="0"/>
        <w:spacing w:before="48" w:beforeLines="20"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（二）技术参数及性能服务等（34分）</w:t>
      </w:r>
    </w:p>
    <w:p w14:paraId="60D04E75">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Times New Roman"/>
          <w:bCs/>
          <w:color w:val="auto"/>
          <w:sz w:val="24"/>
          <w:highlight w:val="none"/>
        </w:rPr>
        <w:t>2.1</w:t>
      </w:r>
      <w:r>
        <w:rPr>
          <w:rFonts w:hint="eastAsia" w:ascii="宋体" w:hAnsi="宋体"/>
          <w:bCs/>
          <w:color w:val="auto"/>
          <w:sz w:val="24"/>
          <w:highlight w:val="none"/>
        </w:rPr>
        <w:t>参与供应商对采购文件具体项目需求的响应程度：全部响应即满足采购文件的技术参数、服务要求等的得34分</w:t>
      </w:r>
      <w:r>
        <w:rPr>
          <w:rFonts w:hint="eastAsia" w:ascii="宋体" w:hAnsi="宋体"/>
          <w:b w:val="0"/>
          <w:bCs w:val="0"/>
          <w:i w:val="0"/>
          <w:iCs/>
          <w:color w:val="auto"/>
          <w:sz w:val="24"/>
          <w:highlight w:val="none"/>
          <w:u w:val="none"/>
        </w:rPr>
        <w:t>。</w:t>
      </w:r>
      <w:r>
        <w:rPr>
          <w:rFonts w:hint="eastAsia" w:ascii="宋体" w:hAnsi="宋体"/>
          <w:b w:val="0"/>
          <w:bCs w:val="0"/>
          <w:i w:val="0"/>
          <w:iCs/>
          <w:color w:val="auto"/>
          <w:sz w:val="24"/>
          <w:highlight w:val="none"/>
          <w:u w:val="none"/>
        </w:rPr>
        <w:t>有</w:t>
      </w:r>
      <w:r>
        <w:rPr>
          <w:rFonts w:hint="eastAsia" w:ascii="宋体" w:hAnsi="宋体"/>
          <w:bCs/>
          <w:color w:val="auto"/>
          <w:sz w:val="24"/>
          <w:highlight w:val="none"/>
        </w:rPr>
        <w:t>负偏离的每项扣</w:t>
      </w:r>
      <w:r>
        <w:rPr>
          <w:rFonts w:hint="eastAsia" w:ascii="宋体" w:hAnsi="宋体"/>
          <w:bCs/>
          <w:color w:val="auto"/>
          <w:sz w:val="24"/>
          <w:highlight w:val="none"/>
          <w:lang w:val="en-US" w:eastAsia="zh-CN"/>
        </w:rPr>
        <w:t>1</w:t>
      </w:r>
      <w:r>
        <w:rPr>
          <w:rFonts w:hint="eastAsia" w:ascii="宋体" w:hAnsi="宋体"/>
          <w:bCs/>
          <w:color w:val="auto"/>
          <w:sz w:val="24"/>
          <w:highlight w:val="none"/>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bookmarkStart w:id="193" w:name="_GoBack"/>
      <w:bookmarkEnd w:id="193"/>
    </w:p>
    <w:p w14:paraId="39A15B16">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（三）技术服务方案（</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p w14:paraId="3E314FE6">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3.1总体服务方案：</w:t>
      </w:r>
      <w:r>
        <w:rPr>
          <w:rFonts w:ascii="宋体" w:hAnsi="宋体" w:eastAsia="宋体" w:cs="Times New Roman"/>
          <w:bCs/>
          <w:color w:val="auto"/>
          <w:sz w:val="24"/>
          <w:szCs w:val="24"/>
          <w:highlight w:val="none"/>
        </w:rPr>
        <w:t>投标人</w:t>
      </w:r>
      <w:r>
        <w:rPr>
          <w:rFonts w:hint="eastAsia" w:ascii="宋体" w:hAnsi="宋体" w:eastAsia="宋体" w:cs="Times New Roman"/>
          <w:bCs/>
          <w:color w:val="auto"/>
          <w:sz w:val="24"/>
          <w:szCs w:val="24"/>
          <w:highlight w:val="none"/>
        </w:rPr>
        <w:t>应</w:t>
      </w:r>
      <w:r>
        <w:rPr>
          <w:rFonts w:ascii="宋体" w:hAnsi="宋体" w:eastAsia="宋体" w:cs="Times New Roman"/>
          <w:bCs/>
          <w:color w:val="auto"/>
          <w:sz w:val="24"/>
          <w:szCs w:val="24"/>
          <w:highlight w:val="none"/>
        </w:rPr>
        <w:t>根据采购文件</w:t>
      </w:r>
      <w:r>
        <w:rPr>
          <w:rFonts w:hint="eastAsia" w:ascii="宋体" w:hAnsi="宋体" w:eastAsia="宋体" w:cs="Times New Roman"/>
          <w:bCs/>
          <w:color w:val="auto"/>
          <w:sz w:val="24"/>
          <w:szCs w:val="24"/>
          <w:highlight w:val="none"/>
        </w:rPr>
        <w:t>要求</w:t>
      </w:r>
      <w:r>
        <w:rPr>
          <w:rFonts w:ascii="宋体" w:hAnsi="宋体" w:eastAsia="宋体" w:cs="Times New Roman"/>
          <w:bCs/>
          <w:color w:val="auto"/>
          <w:sz w:val="24"/>
          <w:szCs w:val="24"/>
          <w:highlight w:val="none"/>
        </w:rPr>
        <w:t>提供</w:t>
      </w:r>
      <w:r>
        <w:rPr>
          <w:rFonts w:hint="eastAsia" w:ascii="宋体" w:hAnsi="宋体" w:eastAsia="宋体" w:cs="Times New Roman"/>
          <w:bCs/>
          <w:color w:val="auto"/>
          <w:sz w:val="24"/>
          <w:szCs w:val="24"/>
          <w:highlight w:val="none"/>
        </w:rPr>
        <w:t>具体详实的总体服务方案，</w:t>
      </w:r>
      <w:r>
        <w:rPr>
          <w:rFonts w:hint="eastAsia" w:ascii="宋体" w:hAnsi="宋体" w:eastAsia="宋体" w:cs="Times New Roman"/>
          <w:bCs/>
          <w:color w:val="auto"/>
          <w:kern w:val="0"/>
          <w:sz w:val="24"/>
          <w:highlight w:val="none"/>
        </w:rPr>
        <w:t>方案优于采购文件要求的得6分，完全符合采购文件要求的得4分，基本满足采购文件要求的得2分，不符合或未提供的不得分。（6分）</w:t>
      </w:r>
    </w:p>
    <w:p w14:paraId="05E5851D">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3.2项目作业方案：</w:t>
      </w:r>
      <w:r>
        <w:rPr>
          <w:rFonts w:hint="eastAsia" w:ascii="宋体" w:hAnsi="宋体" w:eastAsia="宋体" w:cs="宋体"/>
          <w:bCs/>
          <w:color w:val="auto"/>
          <w:sz w:val="24"/>
          <w:szCs w:val="24"/>
          <w:highlight w:val="none"/>
        </w:rPr>
        <w:t>响应供应商应根据采购文件要求及本项目特点，制订项目作业方案及措施，</w:t>
      </w:r>
      <w:r>
        <w:rPr>
          <w:rFonts w:hint="eastAsia" w:ascii="宋体" w:hAnsi="宋体" w:eastAsia="宋体" w:cs="Times New Roman"/>
          <w:bCs/>
          <w:color w:val="auto"/>
          <w:kern w:val="0"/>
          <w:sz w:val="24"/>
          <w:highlight w:val="none"/>
        </w:rPr>
        <w:t>方案优于采购文件要求的得6分，完全符合采购文件要求的得4分，基本满足采购文件要求的得2分，不符合或未提供的不得分。（6分）</w:t>
      </w:r>
    </w:p>
    <w:p w14:paraId="763C444B">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3.3突发活动应急处置方案：</w:t>
      </w:r>
      <w:r>
        <w:rPr>
          <w:rFonts w:hint="eastAsia" w:ascii="宋体" w:hAnsi="宋体" w:eastAsia="宋体" w:cs="宋体"/>
          <w:bCs/>
          <w:color w:val="auto"/>
          <w:sz w:val="24"/>
          <w:szCs w:val="24"/>
          <w:highlight w:val="none"/>
        </w:rPr>
        <w:t>响应供应商应根据采购文件要求及本项目特点，制订项目突发活动应急处置预案，</w:t>
      </w:r>
      <w:r>
        <w:rPr>
          <w:rFonts w:hint="eastAsia" w:ascii="宋体" w:hAnsi="宋体" w:eastAsia="宋体" w:cs="Times New Roman"/>
          <w:bCs/>
          <w:color w:val="auto"/>
          <w:kern w:val="0"/>
          <w:sz w:val="24"/>
          <w:highlight w:val="none"/>
        </w:rPr>
        <w:t>方案优于采购文件要求的得6分，完全符合采购文件要求的得4分，基本满足采购文件要求的得2分，不符合或未提供的不得分。（6分）</w:t>
      </w:r>
    </w:p>
    <w:p w14:paraId="462C2988">
      <w:pPr>
        <w:snapToGrid w:val="0"/>
        <w:spacing w:before="48" w:beforeLines="20" w:line="360" w:lineRule="auto"/>
        <w:ind w:firstLine="482" w:firstLineChars="200"/>
        <w:rPr>
          <w:rFonts w:ascii="宋体" w:hAnsi="宋体" w:eastAsia="宋体" w:cs="Times New Roman"/>
          <w:bCs/>
          <w:color w:val="auto"/>
          <w:kern w:val="0"/>
          <w:sz w:val="24"/>
          <w:highlight w:val="none"/>
        </w:rPr>
      </w:pPr>
      <w:r>
        <w:rPr>
          <w:rFonts w:hint="eastAsia" w:ascii="宋体" w:hAnsi="宋体" w:eastAsia="宋体" w:cs="宋体"/>
          <w:b/>
          <w:bCs/>
          <w:color w:val="auto"/>
          <w:sz w:val="24"/>
          <w:szCs w:val="24"/>
          <w:highlight w:val="none"/>
        </w:rPr>
        <w:t>3.4日常巡检工作方案：</w:t>
      </w:r>
      <w:r>
        <w:rPr>
          <w:rFonts w:hint="eastAsia" w:ascii="宋体" w:hAnsi="宋体" w:eastAsia="宋体" w:cs="宋体"/>
          <w:bCs/>
          <w:color w:val="auto"/>
          <w:sz w:val="24"/>
          <w:szCs w:val="24"/>
          <w:highlight w:val="none"/>
        </w:rPr>
        <w:t>响应供应商应根据采购文件要求及本项目特点，制订项目日常巡检养护工作的具体方案，</w:t>
      </w:r>
      <w:r>
        <w:rPr>
          <w:rFonts w:hint="eastAsia" w:ascii="宋体" w:hAnsi="宋体" w:eastAsia="宋体" w:cs="Times New Roman"/>
          <w:bCs/>
          <w:color w:val="auto"/>
          <w:kern w:val="0"/>
          <w:sz w:val="24"/>
          <w:highlight w:val="none"/>
        </w:rPr>
        <w:t>方案优于采购文件要求的得6分，完全符合采购文件要求的得4分，基本满足采购文件要求的得2分，不符合或未提供的不得分。（6分）</w:t>
      </w:r>
    </w:p>
    <w:p w14:paraId="711651CC">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宋体"/>
          <w:b/>
          <w:bCs/>
          <w:color w:val="auto"/>
          <w:sz w:val="24"/>
          <w:szCs w:val="24"/>
          <w:highlight w:val="none"/>
        </w:rPr>
        <w:t>3.5培训方案</w:t>
      </w:r>
      <w:r>
        <w:rPr>
          <w:rFonts w:hint="eastAsia" w:hAnsi="宋体" w:eastAsia="宋体" w:cs="宋体"/>
          <w:b/>
          <w:bCs/>
          <w:color w:val="auto"/>
          <w:sz w:val="24"/>
          <w:szCs w:val="24"/>
          <w:highlight w:val="none"/>
        </w:rPr>
        <w:t>：</w:t>
      </w:r>
      <w:r>
        <w:rPr>
          <w:rFonts w:hint="eastAsia" w:ascii="宋体" w:hAnsi="宋体" w:eastAsia="宋体" w:cs="Times New Roman"/>
          <w:bCs/>
          <w:color w:val="auto"/>
          <w:sz w:val="24"/>
          <w:szCs w:val="24"/>
          <w:highlight w:val="none"/>
        </w:rPr>
        <w:t>响应供应商应根据采购文件要求及本项目特点，制订项目相关设备的基本操作原理、调试、使用和保养维修等培训方案，方案优于采购文件要求的得</w:t>
      </w:r>
      <w:r>
        <w:rPr>
          <w:rFonts w:hint="eastAsia" w:ascii="宋体" w:hAnsi="宋体" w:eastAsia="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分，完全符合采购文件要求的得</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分，基本满足采购文件要求的得</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分，不符合或未提供的不得分。（</w:t>
      </w:r>
      <w:r>
        <w:rPr>
          <w:rFonts w:hint="eastAsia" w:ascii="宋体" w:hAnsi="宋体" w:eastAsia="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分）</w:t>
      </w:r>
    </w:p>
    <w:p w14:paraId="6DB44341">
      <w:pPr>
        <w:snapToGrid w:val="0"/>
        <w:spacing w:line="360" w:lineRule="auto"/>
        <w:ind w:firstLine="482"/>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3.6售后服务方案：</w:t>
      </w:r>
      <w:r>
        <w:rPr>
          <w:rFonts w:hint="eastAsia" w:ascii="宋体" w:hAnsi="宋体" w:eastAsia="宋体" w:cs="宋体"/>
          <w:bCs/>
          <w:color w:val="auto"/>
          <w:sz w:val="24"/>
          <w:szCs w:val="24"/>
          <w:highlight w:val="none"/>
        </w:rPr>
        <w:t>响应供应商应根据采购文件要求及本项目特点，制订项目具体详实的质保承诺及售后服务方案，方案优于采购文件要求的得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分，完全符合采购文件要求的得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分，基本满足采购文件要求的得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分，不符合或未提供的不得分。（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7B772D40">
      <w:pPr>
        <w:snapToGrid w:val="0"/>
        <w:spacing w:line="360" w:lineRule="auto"/>
        <w:ind w:firstLine="482"/>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rPr>
        <w:t>3.7个人防护方案：</w:t>
      </w:r>
      <w:r>
        <w:rPr>
          <w:rFonts w:hint="eastAsia" w:ascii="宋体" w:hAnsi="宋体" w:eastAsia="宋体" w:cs="宋体"/>
          <w:bCs/>
          <w:color w:val="auto"/>
          <w:sz w:val="24"/>
          <w:szCs w:val="24"/>
          <w:highlight w:val="none"/>
        </w:rPr>
        <w:t>响应供应商应根据采购文件要求及本项目特点，制订项目具体详实的</w:t>
      </w:r>
      <w:r>
        <w:rPr>
          <w:rFonts w:hint="eastAsia" w:ascii="宋体" w:hAnsi="宋体" w:eastAsia="宋体" w:cs="宋体"/>
          <w:bCs/>
          <w:color w:val="auto"/>
          <w:sz w:val="24"/>
          <w:szCs w:val="24"/>
          <w:highlight w:val="none"/>
          <w:lang w:val="en-US" w:eastAsia="zh-CN"/>
        </w:rPr>
        <w:t>个人防护</w:t>
      </w:r>
      <w:r>
        <w:rPr>
          <w:rFonts w:hint="eastAsia" w:ascii="宋体" w:hAnsi="宋体" w:eastAsia="宋体" w:cs="宋体"/>
          <w:bCs/>
          <w:color w:val="auto"/>
          <w:sz w:val="24"/>
          <w:szCs w:val="24"/>
          <w:highlight w:val="none"/>
        </w:rPr>
        <w:t>方案，方案优于采购文件要求的得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分，完全符合采购文件要求的得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分，基本满足采购文件要求的得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分，不符合或未提供的不得分。（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22B562A8">
      <w:pPr>
        <w:pStyle w:val="32"/>
        <w:ind w:firstLine="630" w:firstLineChars="300"/>
        <w:rPr>
          <w:color w:val="auto"/>
          <w:highlight w:val="none"/>
        </w:rPr>
      </w:pPr>
    </w:p>
    <w:p w14:paraId="2C820960">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（四）响应人履约能力（12分）</w:t>
      </w:r>
    </w:p>
    <w:p w14:paraId="5DD8CB5C">
      <w:pPr>
        <w:snapToGrid w:val="0"/>
        <w:spacing w:before="48" w:beforeLines="20" w:line="440" w:lineRule="exact"/>
        <w:ind w:firstLine="480" w:firstLineChars="200"/>
        <w:rPr>
          <w:rFonts w:ascii="宋体" w:hAnsi="宋体" w:eastAsia="宋体" w:cs="Times New Roman"/>
          <w:bCs/>
          <w:color w:val="auto"/>
          <w:sz w:val="24"/>
          <w:szCs w:val="24"/>
          <w:highlight w:val="none"/>
        </w:rPr>
      </w:pPr>
      <w:r>
        <w:rPr>
          <w:rFonts w:hint="eastAsia" w:ascii="宋体" w:hAnsi="宋体" w:eastAsia="宋体" w:cs="宋体"/>
          <w:bCs/>
          <w:color w:val="auto"/>
          <w:sz w:val="24"/>
          <w:highlight w:val="none"/>
        </w:rPr>
        <w:t>4.1业绩：响应供应商</w:t>
      </w:r>
      <w:r>
        <w:rPr>
          <w:rFonts w:hint="eastAsia" w:ascii="宋体" w:hAnsi="宋体" w:eastAsia="宋体" w:cs="宋体"/>
          <w:bCs/>
          <w:color w:val="auto"/>
          <w:sz w:val="24"/>
          <w:highlight w:val="none"/>
          <w:lang w:eastAsia="zh-CN"/>
        </w:rPr>
        <w:t>需提供</w:t>
      </w:r>
      <w:r>
        <w:rPr>
          <w:rFonts w:hint="eastAsia" w:ascii="宋体" w:hAnsi="宋体" w:eastAsia="宋体" w:cs="宋体"/>
          <w:bCs/>
          <w:color w:val="auto"/>
          <w:sz w:val="24"/>
          <w:highlight w:val="none"/>
        </w:rPr>
        <w:t>自2021年1月1日以来承担过的类似污水处理设备维保、加药服务业绩，每提供一项得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分，本项最高12分。</w:t>
      </w:r>
      <w:r>
        <w:rPr>
          <w:rFonts w:hint="eastAsia" w:ascii="宋体" w:hAnsi="宋体" w:eastAsia="宋体" w:cs="宋体"/>
          <w:bCs/>
          <w:color w:val="auto"/>
          <w:sz w:val="24"/>
          <w:highlight w:val="none"/>
          <w:lang w:val="en-US" w:eastAsia="zh-CN"/>
        </w:rPr>
        <w:t>同一服务单位的业绩不重复计算。</w:t>
      </w:r>
      <w:r>
        <w:rPr>
          <w:rFonts w:hint="eastAsia" w:ascii="宋体" w:hAnsi="宋体"/>
          <w:bCs/>
          <w:color w:val="auto"/>
          <w:sz w:val="24"/>
          <w:highlight w:val="none"/>
        </w:rPr>
        <w:t>（提供有效合同复印件并加盖公章，需由响应供应商签署，有效案例时间以合同签订时间为准，复印件应清晰可见主要内容）</w:t>
      </w:r>
      <w:r>
        <w:rPr>
          <w:rFonts w:hint="eastAsia" w:ascii="宋体" w:hAnsi="宋体" w:eastAsia="宋体" w:cs="Times New Roman"/>
          <w:bCs/>
          <w:color w:val="auto"/>
          <w:sz w:val="24"/>
          <w:szCs w:val="24"/>
          <w:highlight w:val="none"/>
        </w:rPr>
        <w:t>。（12分）</w:t>
      </w:r>
    </w:p>
    <w:p w14:paraId="163A96BC">
      <w:pPr>
        <w:snapToGrid w:val="0"/>
        <w:spacing w:before="48" w:beforeLines="20" w:line="440" w:lineRule="exact"/>
        <w:ind w:firstLine="480" w:firstLineChars="200"/>
        <w:rPr>
          <w:rFonts w:ascii="宋体" w:hAnsi="宋体" w:eastAsia="宋体" w:cs="宋体"/>
          <w:bCs/>
          <w:color w:val="auto"/>
          <w:sz w:val="24"/>
          <w:highlight w:val="none"/>
        </w:rPr>
      </w:pPr>
    </w:p>
    <w:p w14:paraId="2958CD7E">
      <w:pPr>
        <w:snapToGrid w:val="0"/>
        <w:spacing w:before="48" w:beforeLines="20" w:line="440" w:lineRule="exact"/>
        <w:ind w:firstLine="480" w:firstLineChars="200"/>
        <w:rPr>
          <w:rFonts w:ascii="宋体" w:hAnsi="宋体" w:eastAsia="宋体" w:cs="宋体"/>
          <w:bCs/>
          <w:color w:val="auto"/>
          <w:sz w:val="24"/>
          <w:highlight w:val="none"/>
        </w:rPr>
      </w:pPr>
    </w:p>
    <w:p w14:paraId="01718650">
      <w:pPr>
        <w:snapToGrid w:val="0"/>
        <w:spacing w:before="48" w:beforeLines="20" w:line="440" w:lineRule="exact"/>
        <w:ind w:firstLine="480" w:firstLineChars="200"/>
        <w:rPr>
          <w:rFonts w:ascii="宋体" w:hAnsi="宋体" w:eastAsia="宋体" w:cs="宋体"/>
          <w:bCs/>
          <w:color w:val="auto"/>
          <w:sz w:val="24"/>
          <w:highlight w:val="none"/>
        </w:rPr>
      </w:pPr>
    </w:p>
    <w:p w14:paraId="59170C7E">
      <w:pPr>
        <w:snapToGrid w:val="0"/>
        <w:spacing w:before="48" w:beforeLines="20" w:line="440" w:lineRule="exact"/>
        <w:ind w:firstLine="480" w:firstLineChars="200"/>
        <w:rPr>
          <w:rFonts w:ascii="宋体" w:hAnsi="宋体" w:eastAsia="宋体" w:cs="宋体"/>
          <w:bCs/>
          <w:color w:val="auto"/>
          <w:sz w:val="24"/>
          <w:highlight w:val="none"/>
        </w:rPr>
      </w:pPr>
    </w:p>
    <w:p w14:paraId="0B3BC6AB">
      <w:pPr>
        <w:snapToGrid w:val="0"/>
        <w:spacing w:before="48" w:beforeLines="20" w:line="440" w:lineRule="exact"/>
        <w:ind w:firstLine="480" w:firstLineChars="200"/>
        <w:rPr>
          <w:rFonts w:ascii="宋体" w:hAnsi="宋体" w:eastAsia="宋体" w:cs="宋体"/>
          <w:bCs/>
          <w:color w:val="auto"/>
          <w:sz w:val="24"/>
          <w:highlight w:val="none"/>
        </w:rPr>
      </w:pPr>
    </w:p>
    <w:p w14:paraId="1B695B6D">
      <w:pPr>
        <w:snapToGrid w:val="0"/>
        <w:spacing w:before="48" w:beforeLines="20" w:line="440" w:lineRule="exact"/>
        <w:ind w:firstLine="480" w:firstLineChars="200"/>
        <w:rPr>
          <w:rFonts w:ascii="宋体" w:hAnsi="宋体" w:eastAsia="宋体" w:cs="宋体"/>
          <w:bCs/>
          <w:color w:val="auto"/>
          <w:sz w:val="24"/>
          <w:highlight w:val="none"/>
        </w:rPr>
      </w:pPr>
    </w:p>
    <w:p w14:paraId="00EB0019">
      <w:pPr>
        <w:snapToGrid w:val="0"/>
        <w:spacing w:before="48" w:beforeLines="20" w:line="440" w:lineRule="exact"/>
        <w:ind w:firstLine="480" w:firstLineChars="200"/>
        <w:rPr>
          <w:rFonts w:ascii="宋体" w:hAnsi="宋体" w:eastAsia="宋体" w:cs="宋体"/>
          <w:bCs/>
          <w:color w:val="auto"/>
          <w:sz w:val="24"/>
          <w:highlight w:val="none"/>
        </w:rPr>
      </w:pPr>
    </w:p>
    <w:p w14:paraId="5F93C7D9">
      <w:pPr>
        <w:snapToGrid w:val="0"/>
        <w:spacing w:before="48" w:beforeLines="20" w:line="440" w:lineRule="exact"/>
        <w:ind w:firstLine="480" w:firstLineChars="200"/>
        <w:rPr>
          <w:rFonts w:ascii="宋体" w:hAnsi="宋体" w:eastAsia="宋体" w:cs="宋体"/>
          <w:bCs/>
          <w:color w:val="auto"/>
          <w:sz w:val="24"/>
          <w:highlight w:val="none"/>
        </w:rPr>
      </w:pPr>
    </w:p>
    <w:p w14:paraId="2BD1F866">
      <w:pPr>
        <w:snapToGrid w:val="0"/>
        <w:spacing w:before="48" w:beforeLines="20" w:line="440" w:lineRule="exact"/>
        <w:ind w:firstLine="480" w:firstLineChars="200"/>
        <w:rPr>
          <w:rFonts w:ascii="宋体" w:hAnsi="宋体" w:eastAsia="宋体" w:cs="宋体"/>
          <w:bCs/>
          <w:color w:val="auto"/>
          <w:sz w:val="24"/>
          <w:highlight w:val="none"/>
        </w:rPr>
      </w:pPr>
    </w:p>
    <w:p w14:paraId="0D102EA7">
      <w:pPr>
        <w:keepNext/>
        <w:outlineLvl w:val="0"/>
        <w:rPr>
          <w:rFonts w:ascii="黑体" w:hAnsi="Times New Roman" w:eastAsia="黑体" w:cs="Times New Roman"/>
          <w:bCs/>
          <w:color w:val="auto"/>
          <w:sz w:val="44"/>
          <w:szCs w:val="28"/>
          <w:highlight w:val="none"/>
        </w:rPr>
      </w:pPr>
    </w:p>
    <w:p w14:paraId="428FBF75">
      <w:pPr>
        <w:pStyle w:val="32"/>
        <w:rPr>
          <w:rFonts w:ascii="黑体" w:hAnsi="Times New Roman" w:eastAsia="黑体" w:cs="Times New Roman"/>
          <w:bCs/>
          <w:color w:val="auto"/>
          <w:sz w:val="44"/>
          <w:szCs w:val="28"/>
          <w:highlight w:val="none"/>
        </w:rPr>
      </w:pPr>
    </w:p>
    <w:p w14:paraId="3FA13DED">
      <w:pPr>
        <w:pStyle w:val="32"/>
        <w:rPr>
          <w:rFonts w:ascii="黑体" w:hAnsi="Times New Roman" w:eastAsia="黑体" w:cs="Times New Roman"/>
          <w:bCs/>
          <w:color w:val="auto"/>
          <w:sz w:val="44"/>
          <w:szCs w:val="28"/>
          <w:highlight w:val="none"/>
        </w:rPr>
      </w:pPr>
    </w:p>
    <w:p w14:paraId="3BB2958D">
      <w:pPr>
        <w:keepNext/>
        <w:jc w:val="center"/>
        <w:outlineLvl w:val="0"/>
        <w:rPr>
          <w:rFonts w:ascii="黑体" w:hAnsi="Times New Roman" w:eastAsia="黑体" w:cs="Times New Roman"/>
          <w:bCs/>
          <w:color w:val="auto"/>
          <w:sz w:val="44"/>
          <w:szCs w:val="28"/>
          <w:highlight w:val="none"/>
        </w:rPr>
      </w:pPr>
    </w:p>
    <w:p w14:paraId="6A3FADE2">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 xml:space="preserve">第六章  采购文件格式 </w:t>
      </w:r>
    </w:p>
    <w:p w14:paraId="3016DCA1">
      <w:pPr>
        <w:jc w:val="center"/>
        <w:rPr>
          <w:rFonts w:ascii="宋体" w:hAnsi="宋体" w:eastAsia="宋体" w:cs="Times New Roman"/>
          <w:b/>
          <w:color w:val="auto"/>
          <w:sz w:val="72"/>
          <w:szCs w:val="21"/>
          <w:highlight w:val="none"/>
        </w:rPr>
      </w:pPr>
      <w:bookmarkStart w:id="166" w:name="_Hlt26671244"/>
      <w:bookmarkEnd w:id="166"/>
      <w:bookmarkStart w:id="167" w:name="_Hlt26955039"/>
      <w:bookmarkEnd w:id="167"/>
      <w:bookmarkStart w:id="168" w:name="_Toc49090576"/>
      <w:bookmarkStart w:id="169" w:name="_Toc26554094"/>
      <w:bookmarkStart w:id="170" w:name="_Toc120614282"/>
    </w:p>
    <w:p w14:paraId="08F4087D">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采  购  文  件</w:t>
      </w:r>
    </w:p>
    <w:p w14:paraId="498AB2E4">
      <w:pPr>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(正本或副本)</w:t>
      </w:r>
    </w:p>
    <w:p w14:paraId="452D79FE">
      <w:pPr>
        <w:jc w:val="center"/>
        <w:rPr>
          <w:rFonts w:ascii="宋体" w:hAnsi="宋体" w:eastAsia="宋体" w:cs="Times New Roman"/>
          <w:b/>
          <w:color w:val="auto"/>
          <w:sz w:val="72"/>
          <w:szCs w:val="21"/>
          <w:highlight w:val="none"/>
        </w:rPr>
      </w:pPr>
    </w:p>
    <w:p w14:paraId="30DCBBFE">
      <w:pPr>
        <w:jc w:val="center"/>
        <w:rPr>
          <w:rFonts w:ascii="宋体" w:hAnsi="宋体" w:eastAsia="宋体" w:cs="Times New Roman"/>
          <w:b/>
          <w:color w:val="auto"/>
          <w:sz w:val="36"/>
          <w:szCs w:val="21"/>
          <w:highlight w:val="none"/>
        </w:rPr>
      </w:pPr>
    </w:p>
    <w:p w14:paraId="3D86F7C2">
      <w:pPr>
        <w:jc w:val="center"/>
        <w:rPr>
          <w:rFonts w:ascii="宋体" w:hAnsi="宋体" w:eastAsia="宋体" w:cs="Times New Roman"/>
          <w:b/>
          <w:color w:val="auto"/>
          <w:sz w:val="36"/>
          <w:szCs w:val="21"/>
          <w:highlight w:val="none"/>
        </w:rPr>
      </w:pPr>
    </w:p>
    <w:p w14:paraId="665106E0">
      <w:pPr>
        <w:jc w:val="center"/>
        <w:rPr>
          <w:rFonts w:ascii="宋体" w:hAnsi="宋体" w:eastAsia="宋体" w:cs="Times New Roman"/>
          <w:b/>
          <w:color w:val="auto"/>
          <w:sz w:val="36"/>
          <w:szCs w:val="21"/>
          <w:highlight w:val="none"/>
        </w:rPr>
      </w:pPr>
    </w:p>
    <w:p w14:paraId="7B1D5644">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14:paraId="239DEF93">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采 购 编 号：</w:t>
      </w:r>
      <w:r>
        <w:rPr>
          <w:rFonts w:hint="eastAsia" w:ascii="宋体" w:hAnsi="宋体" w:eastAsia="宋体" w:cs="Times New Roman"/>
          <w:b/>
          <w:color w:val="auto"/>
          <w:sz w:val="36"/>
          <w:szCs w:val="21"/>
          <w:highlight w:val="none"/>
          <w:u w:val="single"/>
        </w:rPr>
        <w:t xml:space="preserve">               </w:t>
      </w:r>
    </w:p>
    <w:p w14:paraId="1819DE54">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响应人名称 ：</w:t>
      </w:r>
      <w:r>
        <w:rPr>
          <w:rFonts w:hint="eastAsia" w:ascii="宋体" w:hAnsi="宋体" w:eastAsia="宋体" w:cs="Times New Roman"/>
          <w:b/>
          <w:color w:val="auto"/>
          <w:sz w:val="36"/>
          <w:szCs w:val="21"/>
          <w:highlight w:val="none"/>
          <w:u w:val="single"/>
        </w:rPr>
        <w:t xml:space="preserve">               </w:t>
      </w:r>
    </w:p>
    <w:p w14:paraId="44E9B5DB">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日      期 ：</w:t>
      </w:r>
      <w:r>
        <w:rPr>
          <w:rFonts w:hint="eastAsia" w:ascii="宋体" w:hAnsi="宋体" w:eastAsia="宋体" w:cs="Times New Roman"/>
          <w:b/>
          <w:color w:val="auto"/>
          <w:sz w:val="36"/>
          <w:szCs w:val="21"/>
          <w:highlight w:val="none"/>
          <w:u w:val="single"/>
        </w:rPr>
        <w:t xml:space="preserve">               </w:t>
      </w:r>
    </w:p>
    <w:p w14:paraId="1179BDF7">
      <w:pPr>
        <w:spacing w:line="440" w:lineRule="exact"/>
        <w:jc w:val="center"/>
        <w:rPr>
          <w:rFonts w:ascii="宋体" w:hAnsi="宋体" w:eastAsia="宋体" w:cs="Times New Roman"/>
          <w:b/>
          <w:bCs/>
          <w:color w:val="auto"/>
          <w:sz w:val="32"/>
          <w:szCs w:val="32"/>
          <w:highlight w:val="none"/>
        </w:rPr>
      </w:pPr>
    </w:p>
    <w:p w14:paraId="0F807FDD">
      <w:pPr>
        <w:spacing w:line="440" w:lineRule="exact"/>
        <w:ind w:firstLine="480" w:firstLineChars="200"/>
        <w:rPr>
          <w:rFonts w:ascii="宋体" w:hAnsi="宋体" w:eastAsia="宋体" w:cs="Times New Roman"/>
          <w:color w:val="auto"/>
          <w:sz w:val="24"/>
          <w:szCs w:val="21"/>
          <w:highlight w:val="none"/>
        </w:rPr>
      </w:pPr>
    </w:p>
    <w:p w14:paraId="7032E0DB">
      <w:pPr>
        <w:spacing w:line="440" w:lineRule="exact"/>
        <w:ind w:firstLine="480" w:firstLineChars="200"/>
        <w:rPr>
          <w:rFonts w:ascii="宋体" w:hAnsi="宋体" w:eastAsia="宋体" w:cs="Times New Roman"/>
          <w:color w:val="auto"/>
          <w:sz w:val="24"/>
          <w:szCs w:val="21"/>
          <w:highlight w:val="none"/>
        </w:rPr>
      </w:pPr>
    </w:p>
    <w:p w14:paraId="238B6D3E">
      <w:pPr>
        <w:jc w:val="center"/>
        <w:rPr>
          <w:rFonts w:ascii="宋体" w:hAnsi="宋体" w:eastAsia="宋体" w:cs="Times New Roman"/>
          <w:b/>
          <w:color w:val="auto"/>
          <w:sz w:val="30"/>
          <w:szCs w:val="30"/>
          <w:highlight w:val="none"/>
        </w:rPr>
      </w:pPr>
      <w:r>
        <w:rPr>
          <w:rFonts w:ascii="宋体" w:hAnsi="宋体" w:eastAsia="宋体" w:cs="Times New Roman"/>
          <w:color w:val="auto"/>
          <w:sz w:val="24"/>
          <w:szCs w:val="21"/>
          <w:highlight w:val="none"/>
        </w:rPr>
        <w:br w:type="page"/>
      </w:r>
      <w:r>
        <w:rPr>
          <w:rFonts w:hint="eastAsia" w:ascii="宋体" w:hAnsi="宋体" w:eastAsia="宋体" w:cs="Times New Roman"/>
          <w:b/>
          <w:color w:val="auto"/>
          <w:sz w:val="30"/>
          <w:szCs w:val="30"/>
          <w:highlight w:val="none"/>
        </w:rPr>
        <w:t>评分索引表</w:t>
      </w:r>
    </w:p>
    <w:p w14:paraId="5C5BBEEE">
      <w:pPr>
        <w:spacing w:line="440" w:lineRule="exact"/>
        <w:rPr>
          <w:rFonts w:ascii="宋体" w:hAnsi="宋体" w:eastAsia="宋体" w:cs="Times New Roman"/>
          <w:color w:val="auto"/>
          <w:sz w:val="24"/>
          <w:szCs w:val="21"/>
          <w:highlight w:val="none"/>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1F08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43BF151">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szCs w:val="21"/>
                <w:highlight w:val="none"/>
              </w:rPr>
              <w:t>评分项目</w:t>
            </w:r>
          </w:p>
        </w:tc>
        <w:tc>
          <w:tcPr>
            <w:tcW w:w="1694" w:type="pct"/>
            <w:shd w:val="clear" w:color="auto" w:fill="auto"/>
          </w:tcPr>
          <w:p w14:paraId="1DD65FE9">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kern w:val="0"/>
                <w:sz w:val="24"/>
                <w:szCs w:val="21"/>
                <w:highlight w:val="none"/>
                <w:lang w:bidi="en-US"/>
              </w:rPr>
              <w:t>在采购文件中的页码位置</w:t>
            </w:r>
          </w:p>
        </w:tc>
      </w:tr>
      <w:tr w14:paraId="0D7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A62489E">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D482DA0">
            <w:pPr>
              <w:spacing w:line="440" w:lineRule="exact"/>
              <w:jc w:val="center"/>
              <w:rPr>
                <w:rFonts w:ascii="宋体" w:hAnsi="宋体" w:eastAsia="宋体" w:cs="Times New Roman"/>
                <w:color w:val="auto"/>
                <w:sz w:val="24"/>
                <w:szCs w:val="21"/>
                <w:highlight w:val="none"/>
              </w:rPr>
            </w:pPr>
          </w:p>
        </w:tc>
      </w:tr>
      <w:tr w14:paraId="775A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AA77FBF">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7F5B9143">
            <w:pPr>
              <w:spacing w:line="440" w:lineRule="exact"/>
              <w:jc w:val="center"/>
              <w:rPr>
                <w:rFonts w:ascii="宋体" w:hAnsi="宋体" w:eastAsia="宋体" w:cs="Times New Roman"/>
                <w:color w:val="auto"/>
                <w:sz w:val="24"/>
                <w:szCs w:val="21"/>
                <w:highlight w:val="none"/>
              </w:rPr>
            </w:pPr>
          </w:p>
        </w:tc>
      </w:tr>
      <w:tr w14:paraId="173E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44E231B">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35520F04">
            <w:pPr>
              <w:spacing w:line="440" w:lineRule="exact"/>
              <w:jc w:val="center"/>
              <w:rPr>
                <w:rFonts w:ascii="宋体" w:hAnsi="宋体" w:eastAsia="宋体" w:cs="Times New Roman"/>
                <w:color w:val="auto"/>
                <w:sz w:val="24"/>
                <w:szCs w:val="21"/>
                <w:highlight w:val="none"/>
              </w:rPr>
            </w:pPr>
          </w:p>
        </w:tc>
      </w:tr>
      <w:tr w14:paraId="227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8B89E5F">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4B3BF90C">
            <w:pPr>
              <w:spacing w:line="440" w:lineRule="exact"/>
              <w:jc w:val="center"/>
              <w:rPr>
                <w:rFonts w:ascii="宋体" w:hAnsi="宋体" w:eastAsia="宋体" w:cs="Times New Roman"/>
                <w:color w:val="auto"/>
                <w:sz w:val="24"/>
                <w:szCs w:val="21"/>
                <w:highlight w:val="none"/>
              </w:rPr>
            </w:pPr>
          </w:p>
        </w:tc>
      </w:tr>
      <w:tr w14:paraId="06DA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319A910">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8FDB9CC">
            <w:pPr>
              <w:spacing w:line="440" w:lineRule="exact"/>
              <w:jc w:val="center"/>
              <w:rPr>
                <w:rFonts w:ascii="宋体" w:hAnsi="宋体" w:eastAsia="宋体" w:cs="Times New Roman"/>
                <w:color w:val="auto"/>
                <w:sz w:val="24"/>
                <w:szCs w:val="21"/>
                <w:highlight w:val="none"/>
              </w:rPr>
            </w:pPr>
          </w:p>
        </w:tc>
      </w:tr>
      <w:tr w14:paraId="4E53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1F5E18C">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349725F9">
            <w:pPr>
              <w:spacing w:line="440" w:lineRule="exact"/>
              <w:jc w:val="center"/>
              <w:rPr>
                <w:rFonts w:ascii="宋体" w:hAnsi="宋体" w:eastAsia="宋体" w:cs="Times New Roman"/>
                <w:color w:val="auto"/>
                <w:sz w:val="24"/>
                <w:szCs w:val="21"/>
                <w:highlight w:val="none"/>
              </w:rPr>
            </w:pPr>
          </w:p>
        </w:tc>
      </w:tr>
      <w:tr w14:paraId="6C5B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E413686">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422318D0">
            <w:pPr>
              <w:spacing w:line="440" w:lineRule="exact"/>
              <w:jc w:val="center"/>
              <w:rPr>
                <w:rFonts w:ascii="宋体" w:hAnsi="宋体" w:eastAsia="宋体" w:cs="Times New Roman"/>
                <w:color w:val="auto"/>
                <w:sz w:val="24"/>
                <w:szCs w:val="21"/>
                <w:highlight w:val="none"/>
              </w:rPr>
            </w:pPr>
          </w:p>
        </w:tc>
      </w:tr>
      <w:tr w14:paraId="3073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17F81C2C">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56A14475">
            <w:pPr>
              <w:spacing w:line="440" w:lineRule="exact"/>
              <w:jc w:val="center"/>
              <w:rPr>
                <w:rFonts w:ascii="宋体" w:hAnsi="宋体" w:eastAsia="宋体" w:cs="Times New Roman"/>
                <w:color w:val="auto"/>
                <w:sz w:val="24"/>
                <w:szCs w:val="21"/>
                <w:highlight w:val="none"/>
              </w:rPr>
            </w:pPr>
          </w:p>
        </w:tc>
      </w:tr>
      <w:tr w14:paraId="0273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9D7BCA3">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E40011E">
            <w:pPr>
              <w:spacing w:line="440" w:lineRule="exact"/>
              <w:jc w:val="center"/>
              <w:rPr>
                <w:rFonts w:ascii="宋体" w:hAnsi="宋体" w:eastAsia="宋体" w:cs="Times New Roman"/>
                <w:color w:val="auto"/>
                <w:sz w:val="24"/>
                <w:szCs w:val="21"/>
                <w:highlight w:val="none"/>
              </w:rPr>
            </w:pPr>
          </w:p>
        </w:tc>
      </w:tr>
    </w:tbl>
    <w:p w14:paraId="5174CF7E">
      <w:pPr>
        <w:spacing w:line="440" w:lineRule="exact"/>
        <w:jc w:val="center"/>
        <w:rPr>
          <w:rFonts w:ascii="宋体" w:hAnsi="宋体" w:eastAsia="宋体" w:cs="Times New Roman"/>
          <w:color w:val="auto"/>
          <w:sz w:val="24"/>
          <w:szCs w:val="21"/>
          <w:highlight w:val="none"/>
        </w:rPr>
      </w:pPr>
    </w:p>
    <w:p w14:paraId="57009FA3">
      <w:pPr>
        <w:spacing w:line="440" w:lineRule="exact"/>
        <w:jc w:val="center"/>
        <w:rPr>
          <w:rFonts w:ascii="宋体" w:hAnsi="宋体" w:eastAsia="宋体" w:cs="Times New Roman"/>
          <w:color w:val="auto"/>
          <w:sz w:val="24"/>
          <w:szCs w:val="21"/>
          <w:highlight w:val="none"/>
        </w:rPr>
      </w:pPr>
    </w:p>
    <w:p w14:paraId="15057043">
      <w:pPr>
        <w:spacing w:line="440" w:lineRule="exact"/>
        <w:jc w:val="center"/>
        <w:rPr>
          <w:rFonts w:ascii="宋体" w:hAnsi="宋体" w:eastAsia="宋体" w:cs="Times New Roman"/>
          <w:color w:val="auto"/>
          <w:sz w:val="24"/>
          <w:szCs w:val="21"/>
          <w:highlight w:val="none"/>
        </w:rPr>
      </w:pPr>
    </w:p>
    <w:p w14:paraId="3593B2DB">
      <w:pPr>
        <w:spacing w:line="440" w:lineRule="exact"/>
        <w:jc w:val="center"/>
        <w:rPr>
          <w:rFonts w:ascii="宋体" w:hAnsi="宋体" w:eastAsia="宋体" w:cs="Times New Roman"/>
          <w:color w:val="auto"/>
          <w:sz w:val="24"/>
          <w:szCs w:val="21"/>
          <w:highlight w:val="none"/>
        </w:rPr>
      </w:pPr>
    </w:p>
    <w:p w14:paraId="6EE9A82A">
      <w:pPr>
        <w:spacing w:line="440" w:lineRule="exact"/>
        <w:jc w:val="center"/>
        <w:rPr>
          <w:rFonts w:ascii="宋体" w:hAnsi="宋体" w:eastAsia="宋体" w:cs="Times New Roman"/>
          <w:color w:val="auto"/>
          <w:sz w:val="24"/>
          <w:szCs w:val="21"/>
          <w:highlight w:val="none"/>
        </w:rPr>
      </w:pPr>
    </w:p>
    <w:p w14:paraId="47160FDF">
      <w:pPr>
        <w:spacing w:line="440" w:lineRule="exact"/>
        <w:jc w:val="center"/>
        <w:rPr>
          <w:rFonts w:ascii="宋体" w:hAnsi="宋体" w:eastAsia="宋体" w:cs="Times New Roman"/>
          <w:color w:val="auto"/>
          <w:sz w:val="24"/>
          <w:szCs w:val="21"/>
          <w:highlight w:val="none"/>
        </w:rPr>
      </w:pPr>
    </w:p>
    <w:p w14:paraId="0F686045">
      <w:pPr>
        <w:spacing w:line="440" w:lineRule="exact"/>
        <w:jc w:val="center"/>
        <w:rPr>
          <w:rFonts w:ascii="宋体" w:hAnsi="宋体" w:eastAsia="宋体" w:cs="Times New Roman"/>
          <w:color w:val="auto"/>
          <w:sz w:val="24"/>
          <w:szCs w:val="21"/>
          <w:highlight w:val="none"/>
        </w:rPr>
      </w:pPr>
    </w:p>
    <w:p w14:paraId="63AF1CB3">
      <w:pPr>
        <w:spacing w:line="440" w:lineRule="exact"/>
        <w:jc w:val="center"/>
        <w:rPr>
          <w:rFonts w:ascii="宋体" w:hAnsi="宋体" w:eastAsia="宋体" w:cs="Times New Roman"/>
          <w:color w:val="auto"/>
          <w:sz w:val="24"/>
          <w:szCs w:val="21"/>
          <w:highlight w:val="none"/>
        </w:rPr>
      </w:pPr>
    </w:p>
    <w:p w14:paraId="0455C4F6">
      <w:pPr>
        <w:spacing w:line="440" w:lineRule="exact"/>
        <w:jc w:val="center"/>
        <w:rPr>
          <w:rFonts w:ascii="宋体" w:hAnsi="宋体" w:eastAsia="宋体" w:cs="Times New Roman"/>
          <w:color w:val="auto"/>
          <w:sz w:val="24"/>
          <w:szCs w:val="21"/>
          <w:highlight w:val="none"/>
        </w:rPr>
      </w:pPr>
    </w:p>
    <w:p w14:paraId="4CA5B2A4">
      <w:pPr>
        <w:spacing w:line="440" w:lineRule="exact"/>
        <w:jc w:val="center"/>
        <w:rPr>
          <w:rFonts w:ascii="宋体" w:hAnsi="宋体" w:eastAsia="宋体" w:cs="Times New Roman"/>
          <w:color w:val="auto"/>
          <w:sz w:val="24"/>
          <w:szCs w:val="21"/>
          <w:highlight w:val="none"/>
        </w:rPr>
      </w:pPr>
    </w:p>
    <w:p w14:paraId="51FDFF19">
      <w:pPr>
        <w:spacing w:line="440" w:lineRule="exact"/>
        <w:jc w:val="center"/>
        <w:rPr>
          <w:rFonts w:ascii="宋体" w:hAnsi="宋体" w:eastAsia="宋体" w:cs="Times New Roman"/>
          <w:color w:val="auto"/>
          <w:sz w:val="24"/>
          <w:szCs w:val="21"/>
          <w:highlight w:val="none"/>
        </w:rPr>
      </w:pPr>
    </w:p>
    <w:p w14:paraId="5FE04AD7">
      <w:pPr>
        <w:spacing w:line="440" w:lineRule="exact"/>
        <w:jc w:val="center"/>
        <w:rPr>
          <w:rFonts w:ascii="宋体" w:hAnsi="宋体" w:eastAsia="宋体" w:cs="Times New Roman"/>
          <w:color w:val="auto"/>
          <w:sz w:val="24"/>
          <w:szCs w:val="21"/>
          <w:highlight w:val="none"/>
        </w:rPr>
      </w:pPr>
    </w:p>
    <w:p w14:paraId="30D05525">
      <w:pPr>
        <w:spacing w:line="440" w:lineRule="exact"/>
        <w:jc w:val="center"/>
        <w:rPr>
          <w:rFonts w:ascii="宋体" w:hAnsi="宋体" w:eastAsia="宋体" w:cs="Times New Roman"/>
          <w:color w:val="auto"/>
          <w:sz w:val="24"/>
          <w:szCs w:val="21"/>
          <w:highlight w:val="none"/>
        </w:rPr>
      </w:pPr>
    </w:p>
    <w:p w14:paraId="3D82EF09">
      <w:pPr>
        <w:spacing w:line="440" w:lineRule="exact"/>
        <w:jc w:val="center"/>
        <w:rPr>
          <w:rFonts w:ascii="宋体" w:hAnsi="宋体" w:eastAsia="宋体" w:cs="Times New Roman"/>
          <w:color w:val="auto"/>
          <w:sz w:val="24"/>
          <w:szCs w:val="21"/>
          <w:highlight w:val="none"/>
        </w:rPr>
      </w:pPr>
    </w:p>
    <w:p w14:paraId="1E6863B0">
      <w:pPr>
        <w:spacing w:line="440" w:lineRule="exact"/>
        <w:jc w:val="center"/>
        <w:rPr>
          <w:rFonts w:ascii="宋体" w:hAnsi="宋体" w:eastAsia="宋体" w:cs="Times New Roman"/>
          <w:color w:val="auto"/>
          <w:sz w:val="24"/>
          <w:szCs w:val="21"/>
          <w:highlight w:val="none"/>
        </w:rPr>
      </w:pPr>
    </w:p>
    <w:p w14:paraId="5AB74A62">
      <w:pPr>
        <w:spacing w:line="440" w:lineRule="exact"/>
        <w:jc w:val="center"/>
        <w:rPr>
          <w:rFonts w:ascii="宋体" w:hAnsi="宋体" w:eastAsia="宋体" w:cs="Times New Roman"/>
          <w:color w:val="auto"/>
          <w:sz w:val="24"/>
          <w:szCs w:val="21"/>
          <w:highlight w:val="none"/>
        </w:rPr>
      </w:pPr>
    </w:p>
    <w:p w14:paraId="541AA431">
      <w:pPr>
        <w:spacing w:line="440" w:lineRule="exact"/>
        <w:jc w:val="center"/>
        <w:rPr>
          <w:rFonts w:ascii="宋体" w:hAnsi="宋体" w:eastAsia="宋体" w:cs="Times New Roman"/>
          <w:color w:val="auto"/>
          <w:sz w:val="24"/>
          <w:szCs w:val="21"/>
          <w:highlight w:val="none"/>
        </w:rPr>
      </w:pPr>
    </w:p>
    <w:p w14:paraId="7E88C9BA">
      <w:pPr>
        <w:spacing w:line="440" w:lineRule="exact"/>
        <w:jc w:val="center"/>
        <w:rPr>
          <w:rFonts w:ascii="宋体" w:hAnsi="宋体" w:eastAsia="宋体" w:cs="Times New Roman"/>
          <w:color w:val="auto"/>
          <w:sz w:val="24"/>
          <w:szCs w:val="21"/>
          <w:highlight w:val="none"/>
        </w:rPr>
      </w:pPr>
    </w:p>
    <w:p w14:paraId="28266110">
      <w:pPr>
        <w:spacing w:line="440" w:lineRule="exact"/>
        <w:jc w:val="center"/>
        <w:rPr>
          <w:rFonts w:ascii="宋体" w:hAnsi="宋体" w:eastAsia="宋体" w:cs="Times New Roman"/>
          <w:color w:val="auto"/>
          <w:sz w:val="24"/>
          <w:szCs w:val="21"/>
          <w:highlight w:val="none"/>
        </w:rPr>
      </w:pPr>
    </w:p>
    <w:p w14:paraId="0061A021">
      <w:pPr>
        <w:spacing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响应主要文件目录</w:t>
      </w:r>
    </w:p>
    <w:p w14:paraId="24C18F81">
      <w:pPr>
        <w:spacing w:line="440" w:lineRule="exact"/>
        <w:jc w:val="center"/>
        <w:rPr>
          <w:rFonts w:ascii="宋体" w:hAnsi="宋体" w:eastAsia="宋体" w:cs="Times New Roman"/>
          <w:b/>
          <w:bCs/>
          <w:color w:val="auto"/>
          <w:sz w:val="32"/>
          <w:szCs w:val="32"/>
          <w:highlight w:val="none"/>
        </w:rPr>
      </w:pPr>
    </w:p>
    <w:p w14:paraId="416F19BB">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一、资格性和符合性检查响应对照表</w:t>
      </w:r>
    </w:p>
    <w:p w14:paraId="346A6D97">
      <w:pPr>
        <w:ind w:firstLine="482" w:firstLineChars="200"/>
        <w:rPr>
          <w:rFonts w:ascii="宋体" w:hAnsi="宋体" w:eastAsia="宋体" w:cs="Times New Roman"/>
          <w:bCs/>
          <w:color w:val="auto"/>
          <w:sz w:val="24"/>
          <w:szCs w:val="21"/>
          <w:highlight w:val="none"/>
        </w:rPr>
      </w:pPr>
      <w:r>
        <w:rPr>
          <w:rFonts w:hint="eastAsia" w:ascii="宋体" w:hAnsi="宋体" w:eastAsia="宋体" w:cs="Times New Roman"/>
          <w:b/>
          <w:bCs/>
          <w:color w:val="auto"/>
          <w:sz w:val="24"/>
          <w:szCs w:val="21"/>
          <w:highlight w:val="none"/>
        </w:rPr>
        <w:t>二</w:t>
      </w:r>
      <w:r>
        <w:rPr>
          <w:rFonts w:hint="eastAsia" w:ascii="宋体" w:hAnsi="宋体" w:eastAsia="宋体" w:cs="Times New Roman"/>
          <w:color w:val="auto"/>
          <w:sz w:val="24"/>
          <w:szCs w:val="21"/>
          <w:highlight w:val="none"/>
        </w:rPr>
        <w:t>、资格、</w:t>
      </w:r>
      <w:r>
        <w:rPr>
          <w:rFonts w:hint="eastAsia" w:ascii="宋体" w:hAnsi="宋体" w:eastAsia="宋体" w:cs="Times New Roman"/>
          <w:bCs/>
          <w:color w:val="auto"/>
          <w:sz w:val="24"/>
          <w:szCs w:val="21"/>
          <w:highlight w:val="none"/>
        </w:rPr>
        <w:t>资信证明文件</w:t>
      </w:r>
    </w:p>
    <w:p w14:paraId="2758B0A1">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三、响应函</w:t>
      </w:r>
    </w:p>
    <w:p w14:paraId="09E753BB">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四</w:t>
      </w:r>
      <w:r>
        <w:rPr>
          <w:rFonts w:hint="eastAsia" w:ascii="宋体" w:hAnsi="宋体" w:eastAsia="宋体" w:cs="Times New Roman"/>
          <w:b/>
          <w:bCs/>
          <w:color w:val="auto"/>
          <w:sz w:val="24"/>
          <w:szCs w:val="21"/>
          <w:highlight w:val="none"/>
        </w:rPr>
        <w:t>、</w:t>
      </w:r>
      <w:r>
        <w:rPr>
          <w:rFonts w:hint="eastAsia" w:ascii="宋体" w:hAnsi="宋体" w:eastAsia="宋体" w:cs="Times New Roman"/>
          <w:color w:val="auto"/>
          <w:sz w:val="24"/>
          <w:szCs w:val="21"/>
          <w:highlight w:val="none"/>
        </w:rPr>
        <w:t>响应产品配置与分项报价表</w:t>
      </w:r>
    </w:p>
    <w:p w14:paraId="209E3137">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五、供货一览表</w:t>
      </w:r>
    </w:p>
    <w:p w14:paraId="4D2C23B6">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六</w:t>
      </w:r>
      <w:r>
        <w:rPr>
          <w:rFonts w:hint="eastAsia" w:ascii="宋体" w:hAnsi="宋体" w:eastAsia="宋体" w:cs="Courier New"/>
          <w:color w:val="auto"/>
          <w:sz w:val="24"/>
          <w:szCs w:val="24"/>
          <w:highlight w:val="none"/>
        </w:rPr>
        <w:t>、</w:t>
      </w:r>
      <w:r>
        <w:rPr>
          <w:rFonts w:hint="eastAsia" w:ascii="宋体" w:hAnsi="宋体" w:eastAsia="宋体" w:cs="Times New Roman"/>
          <w:color w:val="auto"/>
          <w:sz w:val="24"/>
          <w:szCs w:val="24"/>
          <w:highlight w:val="none"/>
        </w:rPr>
        <w:t>技术参数响应及偏离表</w:t>
      </w:r>
    </w:p>
    <w:p w14:paraId="5E0E1A97">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七、商务条款响应及偏离表</w:t>
      </w:r>
    </w:p>
    <w:p w14:paraId="745DAC7E">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八、开标一览表</w:t>
      </w:r>
    </w:p>
    <w:p w14:paraId="59BCA9E2">
      <w:pPr>
        <w:rPr>
          <w:rFonts w:ascii="宋体" w:hAnsi="宋体" w:eastAsia="宋体" w:cs="Times New Roman"/>
          <w:b/>
          <w:color w:val="auto"/>
          <w:sz w:val="32"/>
          <w:szCs w:val="32"/>
          <w:highlight w:val="none"/>
        </w:rPr>
      </w:pPr>
      <w:r>
        <w:rPr>
          <w:rFonts w:ascii="宋体" w:hAnsi="宋体" w:eastAsia="宋体" w:cs="Times New Roman"/>
          <w:color w:val="auto"/>
          <w:sz w:val="24"/>
          <w:szCs w:val="21"/>
          <w:highlight w:val="none"/>
        </w:rPr>
        <w:br w:type="page"/>
      </w:r>
    </w:p>
    <w:p w14:paraId="136E693D">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一、资格性和符合性检查响应对照表</w:t>
      </w:r>
    </w:p>
    <w:tbl>
      <w:tblPr>
        <w:tblStyle w:val="6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4E4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168B0A">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序号</w:t>
            </w:r>
          </w:p>
        </w:tc>
        <w:tc>
          <w:tcPr>
            <w:tcW w:w="5447" w:type="dxa"/>
            <w:vAlign w:val="center"/>
          </w:tcPr>
          <w:p w14:paraId="04057E04">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资格性和符合性检查响应内容</w:t>
            </w:r>
          </w:p>
        </w:tc>
        <w:tc>
          <w:tcPr>
            <w:tcW w:w="1680" w:type="dxa"/>
            <w:vAlign w:val="center"/>
          </w:tcPr>
          <w:p w14:paraId="5E57FA82">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是否响应</w:t>
            </w:r>
          </w:p>
          <w:p w14:paraId="124FE0E2">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（填是或者否）</w:t>
            </w:r>
          </w:p>
        </w:tc>
        <w:tc>
          <w:tcPr>
            <w:tcW w:w="1785" w:type="dxa"/>
            <w:vAlign w:val="center"/>
          </w:tcPr>
          <w:p w14:paraId="60A4DF33">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响应文件中的</w:t>
            </w:r>
          </w:p>
          <w:p w14:paraId="123D85E7">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页码位置</w:t>
            </w:r>
          </w:p>
        </w:tc>
      </w:tr>
      <w:tr w14:paraId="7B1A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8797B19">
            <w:pPr>
              <w:rPr>
                <w:rFonts w:ascii="宋体" w:hAnsi="宋体" w:eastAsia="宋体" w:cs="Times New Roman"/>
                <w:b/>
                <w:i/>
                <w:color w:val="auto"/>
                <w:szCs w:val="21"/>
                <w:highlight w:val="none"/>
                <w:u w:val="single"/>
              </w:rPr>
            </w:pPr>
            <w:r>
              <w:rPr>
                <w:rFonts w:hint="eastAsia" w:ascii="宋体" w:hAnsi="宋体" w:eastAsia="宋体" w:cs="Times New Roman"/>
                <w:b/>
                <w:i/>
                <w:color w:val="auto"/>
                <w:szCs w:val="21"/>
                <w:highlight w:val="none"/>
                <w:u w:val="single"/>
              </w:rPr>
              <w:t>1</w:t>
            </w:r>
          </w:p>
        </w:tc>
        <w:tc>
          <w:tcPr>
            <w:tcW w:w="5447" w:type="dxa"/>
            <w:vAlign w:val="center"/>
          </w:tcPr>
          <w:p w14:paraId="355968BC">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208EB55C">
            <w:pPr>
              <w:rPr>
                <w:rFonts w:ascii="宋体" w:hAnsi="宋体" w:eastAsia="宋体" w:cs="Times New Roman"/>
                <w:b/>
                <w:color w:val="auto"/>
                <w:szCs w:val="21"/>
                <w:highlight w:val="none"/>
              </w:rPr>
            </w:pPr>
          </w:p>
        </w:tc>
        <w:tc>
          <w:tcPr>
            <w:tcW w:w="1785" w:type="dxa"/>
            <w:vAlign w:val="center"/>
          </w:tcPr>
          <w:p w14:paraId="533207E2">
            <w:pPr>
              <w:rPr>
                <w:rFonts w:ascii="宋体" w:hAnsi="宋体" w:eastAsia="宋体" w:cs="Times New Roman"/>
                <w:b/>
                <w:color w:val="auto"/>
                <w:szCs w:val="21"/>
                <w:highlight w:val="none"/>
              </w:rPr>
            </w:pPr>
          </w:p>
        </w:tc>
      </w:tr>
      <w:tr w14:paraId="0052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61A1845">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2</w:t>
            </w:r>
          </w:p>
        </w:tc>
        <w:tc>
          <w:tcPr>
            <w:tcW w:w="5447" w:type="dxa"/>
            <w:vAlign w:val="center"/>
          </w:tcPr>
          <w:p w14:paraId="1DE0E587">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6E7FD0BC">
            <w:pPr>
              <w:rPr>
                <w:rFonts w:ascii="宋体" w:hAnsi="宋体" w:eastAsia="宋体" w:cs="Times New Roman"/>
                <w:color w:val="auto"/>
                <w:szCs w:val="21"/>
                <w:highlight w:val="none"/>
              </w:rPr>
            </w:pPr>
          </w:p>
        </w:tc>
        <w:tc>
          <w:tcPr>
            <w:tcW w:w="1785" w:type="dxa"/>
            <w:vAlign w:val="center"/>
          </w:tcPr>
          <w:p w14:paraId="73E3D0D4">
            <w:pPr>
              <w:rPr>
                <w:rFonts w:ascii="宋体" w:hAnsi="宋体" w:eastAsia="宋体" w:cs="Times New Roman"/>
                <w:color w:val="auto"/>
                <w:szCs w:val="21"/>
                <w:highlight w:val="none"/>
              </w:rPr>
            </w:pPr>
          </w:p>
        </w:tc>
      </w:tr>
      <w:tr w14:paraId="4C3B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83B5750">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3</w:t>
            </w:r>
          </w:p>
        </w:tc>
        <w:tc>
          <w:tcPr>
            <w:tcW w:w="5447" w:type="dxa"/>
            <w:vAlign w:val="center"/>
          </w:tcPr>
          <w:p w14:paraId="4C0EA9B3">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30D57F79">
            <w:pPr>
              <w:rPr>
                <w:rFonts w:ascii="宋体" w:hAnsi="宋体" w:eastAsia="宋体" w:cs="Times New Roman"/>
                <w:color w:val="auto"/>
                <w:szCs w:val="21"/>
                <w:highlight w:val="none"/>
              </w:rPr>
            </w:pPr>
          </w:p>
        </w:tc>
        <w:tc>
          <w:tcPr>
            <w:tcW w:w="1785" w:type="dxa"/>
            <w:vAlign w:val="center"/>
          </w:tcPr>
          <w:p w14:paraId="15545BFE">
            <w:pPr>
              <w:rPr>
                <w:rFonts w:ascii="宋体" w:hAnsi="宋体" w:eastAsia="宋体" w:cs="Times New Roman"/>
                <w:color w:val="auto"/>
                <w:szCs w:val="21"/>
                <w:highlight w:val="none"/>
              </w:rPr>
            </w:pPr>
          </w:p>
        </w:tc>
      </w:tr>
      <w:tr w14:paraId="6F3C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22CD9F7">
            <w:pPr>
              <w:rPr>
                <w:rFonts w:ascii="宋体" w:hAnsi="宋体" w:eastAsia="宋体" w:cs="Times New Roman"/>
                <w:i/>
                <w:color w:val="auto"/>
                <w:szCs w:val="21"/>
                <w:highlight w:val="none"/>
                <w:u w:val="single"/>
              </w:rPr>
            </w:pPr>
          </w:p>
        </w:tc>
        <w:tc>
          <w:tcPr>
            <w:tcW w:w="5447" w:type="dxa"/>
            <w:vAlign w:val="center"/>
          </w:tcPr>
          <w:p w14:paraId="7932CC17">
            <w:pPr>
              <w:snapToGrid w:val="0"/>
              <w:spacing w:line="590" w:lineRule="atLeast"/>
              <w:rPr>
                <w:rFonts w:ascii="宋体" w:hAnsi="宋体" w:eastAsia="宋体" w:cs="Times New Roman"/>
                <w:i/>
                <w:iCs/>
                <w:color w:val="auto"/>
                <w:sz w:val="24"/>
                <w:szCs w:val="24"/>
                <w:highlight w:val="none"/>
                <w:u w:val="single"/>
              </w:rPr>
            </w:pPr>
          </w:p>
        </w:tc>
        <w:tc>
          <w:tcPr>
            <w:tcW w:w="1680" w:type="dxa"/>
            <w:vAlign w:val="center"/>
          </w:tcPr>
          <w:p w14:paraId="6297BFD8">
            <w:pPr>
              <w:rPr>
                <w:rFonts w:ascii="宋体" w:hAnsi="宋体" w:eastAsia="宋体" w:cs="Times New Roman"/>
                <w:color w:val="auto"/>
                <w:szCs w:val="21"/>
                <w:highlight w:val="none"/>
              </w:rPr>
            </w:pPr>
          </w:p>
        </w:tc>
        <w:tc>
          <w:tcPr>
            <w:tcW w:w="1785" w:type="dxa"/>
            <w:vAlign w:val="center"/>
          </w:tcPr>
          <w:p w14:paraId="5DD8EADF">
            <w:pPr>
              <w:rPr>
                <w:rFonts w:ascii="宋体" w:hAnsi="宋体" w:eastAsia="宋体" w:cs="Times New Roman"/>
                <w:color w:val="auto"/>
                <w:szCs w:val="21"/>
                <w:highlight w:val="none"/>
              </w:rPr>
            </w:pPr>
          </w:p>
        </w:tc>
      </w:tr>
      <w:tr w14:paraId="6395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0AF1D43">
            <w:pPr>
              <w:rPr>
                <w:rFonts w:ascii="宋体" w:hAnsi="宋体" w:eastAsia="宋体" w:cs="Times New Roman"/>
                <w:i/>
                <w:color w:val="auto"/>
                <w:szCs w:val="21"/>
                <w:highlight w:val="none"/>
                <w:u w:val="single"/>
              </w:rPr>
            </w:pPr>
          </w:p>
        </w:tc>
        <w:tc>
          <w:tcPr>
            <w:tcW w:w="5447" w:type="dxa"/>
            <w:vAlign w:val="center"/>
          </w:tcPr>
          <w:p w14:paraId="27CBF4D0">
            <w:pPr>
              <w:snapToGrid w:val="0"/>
              <w:spacing w:line="590" w:lineRule="atLeast"/>
              <w:rPr>
                <w:rFonts w:ascii="宋体" w:hAnsi="宋体" w:eastAsia="宋体" w:cs="Times New Roman"/>
                <w:i/>
                <w:iCs/>
                <w:color w:val="auto"/>
                <w:sz w:val="24"/>
                <w:szCs w:val="24"/>
                <w:highlight w:val="none"/>
                <w:u w:val="single"/>
              </w:rPr>
            </w:pPr>
            <w:r>
              <w:rPr>
                <w:rFonts w:hint="eastAsia" w:ascii="宋体" w:hAnsi="宋体" w:eastAsia="宋体" w:cs="Times New Roman"/>
                <w:i/>
                <w:iCs/>
                <w:color w:val="auto"/>
                <w:sz w:val="24"/>
                <w:szCs w:val="24"/>
                <w:highlight w:val="none"/>
                <w:u w:val="single"/>
              </w:rPr>
              <w:t>采购文件中的其他实质性要求</w:t>
            </w:r>
          </w:p>
        </w:tc>
        <w:tc>
          <w:tcPr>
            <w:tcW w:w="1680" w:type="dxa"/>
            <w:vAlign w:val="center"/>
          </w:tcPr>
          <w:p w14:paraId="20C0755B">
            <w:pPr>
              <w:rPr>
                <w:rFonts w:ascii="宋体" w:hAnsi="宋体" w:eastAsia="宋体" w:cs="Times New Roman"/>
                <w:color w:val="auto"/>
                <w:szCs w:val="21"/>
                <w:highlight w:val="none"/>
              </w:rPr>
            </w:pPr>
          </w:p>
        </w:tc>
        <w:tc>
          <w:tcPr>
            <w:tcW w:w="1785" w:type="dxa"/>
            <w:vAlign w:val="center"/>
          </w:tcPr>
          <w:p w14:paraId="1E137283">
            <w:pPr>
              <w:rPr>
                <w:rFonts w:ascii="宋体" w:hAnsi="宋体" w:eastAsia="宋体" w:cs="Times New Roman"/>
                <w:color w:val="auto"/>
                <w:szCs w:val="21"/>
                <w:highlight w:val="none"/>
              </w:rPr>
            </w:pPr>
          </w:p>
        </w:tc>
      </w:tr>
    </w:tbl>
    <w:p w14:paraId="5034CBA6">
      <w:pPr>
        <w:spacing w:line="440" w:lineRule="exact"/>
        <w:ind w:firstLine="480" w:firstLineChars="200"/>
        <w:rPr>
          <w:rFonts w:ascii="宋体" w:hAnsi="宋体" w:eastAsia="宋体" w:cs="Times New Roman"/>
          <w:color w:val="auto"/>
          <w:sz w:val="24"/>
          <w:szCs w:val="21"/>
          <w:highlight w:val="none"/>
        </w:rPr>
      </w:pPr>
    </w:p>
    <w:p w14:paraId="07056521">
      <w:pPr>
        <w:snapToGrid w:val="0"/>
        <w:spacing w:before="50" w:after="50"/>
        <w:rPr>
          <w:rFonts w:ascii="黑体" w:hAnsi="Times New Roman" w:eastAsia="黑体" w:cs="Times New Roman"/>
          <w:color w:val="auto"/>
          <w:sz w:val="44"/>
          <w:szCs w:val="21"/>
          <w:highlight w:val="none"/>
        </w:rPr>
      </w:pPr>
      <w:r>
        <w:rPr>
          <w:rFonts w:hint="eastAsia" w:ascii="黑体" w:hAnsi="Times New Roman" w:eastAsia="黑体" w:cs="Times New Roman"/>
          <w:color w:val="auto"/>
          <w:sz w:val="44"/>
          <w:szCs w:val="21"/>
          <w:highlight w:val="none"/>
        </w:rPr>
        <w:t xml:space="preserve"> </w:t>
      </w:r>
    </w:p>
    <w:p w14:paraId="142EE5ED">
      <w:pPr>
        <w:snapToGrid w:val="0"/>
        <w:spacing w:before="50" w:after="50"/>
        <w:rPr>
          <w:rFonts w:ascii="黑体" w:hAnsi="Times New Roman" w:eastAsia="黑体" w:cs="Times New Roman"/>
          <w:color w:val="auto"/>
          <w:sz w:val="44"/>
          <w:szCs w:val="21"/>
          <w:highlight w:val="none"/>
        </w:rPr>
      </w:pPr>
    </w:p>
    <w:p w14:paraId="060876D8">
      <w:pPr>
        <w:snapToGrid w:val="0"/>
        <w:spacing w:before="50" w:after="50"/>
        <w:rPr>
          <w:rFonts w:ascii="黑体" w:hAnsi="Times New Roman" w:eastAsia="黑体" w:cs="Times New Roman"/>
          <w:color w:val="auto"/>
          <w:sz w:val="44"/>
          <w:szCs w:val="21"/>
          <w:highlight w:val="none"/>
        </w:rPr>
      </w:pPr>
    </w:p>
    <w:p w14:paraId="0B91E6F3">
      <w:pPr>
        <w:snapToGrid w:val="0"/>
        <w:spacing w:before="50" w:after="50"/>
        <w:rPr>
          <w:rFonts w:ascii="黑体" w:hAnsi="Times New Roman" w:eastAsia="黑体" w:cs="Times New Roman"/>
          <w:color w:val="auto"/>
          <w:sz w:val="44"/>
          <w:szCs w:val="21"/>
          <w:highlight w:val="none"/>
        </w:rPr>
      </w:pPr>
    </w:p>
    <w:p w14:paraId="1FA7D038">
      <w:pPr>
        <w:snapToGrid w:val="0"/>
        <w:spacing w:before="50" w:after="50"/>
        <w:rPr>
          <w:rFonts w:ascii="黑体" w:hAnsi="Times New Roman" w:eastAsia="黑体" w:cs="Times New Roman"/>
          <w:color w:val="auto"/>
          <w:sz w:val="44"/>
          <w:szCs w:val="21"/>
          <w:highlight w:val="none"/>
        </w:rPr>
      </w:pPr>
    </w:p>
    <w:p w14:paraId="0CDED651">
      <w:pPr>
        <w:snapToGrid w:val="0"/>
        <w:spacing w:before="50" w:after="50"/>
        <w:rPr>
          <w:rFonts w:ascii="黑体" w:hAnsi="Times New Roman" w:eastAsia="黑体" w:cs="Times New Roman"/>
          <w:color w:val="auto"/>
          <w:sz w:val="44"/>
          <w:szCs w:val="21"/>
          <w:highlight w:val="none"/>
        </w:rPr>
      </w:pPr>
    </w:p>
    <w:p w14:paraId="6CDEE359">
      <w:pPr>
        <w:snapToGrid w:val="0"/>
        <w:spacing w:before="50" w:after="50"/>
        <w:rPr>
          <w:rFonts w:ascii="黑体" w:hAnsi="Times New Roman" w:eastAsia="黑体" w:cs="Times New Roman"/>
          <w:color w:val="auto"/>
          <w:sz w:val="44"/>
          <w:szCs w:val="21"/>
          <w:highlight w:val="none"/>
        </w:rPr>
      </w:pPr>
    </w:p>
    <w:p w14:paraId="5A112022">
      <w:pPr>
        <w:snapToGrid w:val="0"/>
        <w:spacing w:before="50" w:after="50"/>
        <w:rPr>
          <w:rFonts w:ascii="黑体" w:hAnsi="Times New Roman" w:eastAsia="黑体" w:cs="Times New Roman"/>
          <w:color w:val="auto"/>
          <w:sz w:val="44"/>
          <w:szCs w:val="21"/>
          <w:highlight w:val="none"/>
        </w:rPr>
      </w:pPr>
    </w:p>
    <w:p w14:paraId="17F0D982">
      <w:pPr>
        <w:snapToGrid w:val="0"/>
        <w:spacing w:before="50" w:after="50"/>
        <w:rPr>
          <w:rFonts w:ascii="黑体" w:hAnsi="Times New Roman" w:eastAsia="黑体" w:cs="Times New Roman"/>
          <w:color w:val="auto"/>
          <w:sz w:val="44"/>
          <w:szCs w:val="21"/>
          <w:highlight w:val="none"/>
        </w:rPr>
      </w:pPr>
    </w:p>
    <w:p w14:paraId="1CE49229">
      <w:pPr>
        <w:snapToGrid w:val="0"/>
        <w:spacing w:before="50" w:after="50"/>
        <w:rPr>
          <w:rFonts w:ascii="黑体" w:hAnsi="Times New Roman" w:eastAsia="黑体" w:cs="Times New Roman"/>
          <w:color w:val="auto"/>
          <w:sz w:val="44"/>
          <w:szCs w:val="21"/>
          <w:highlight w:val="none"/>
        </w:rPr>
      </w:pPr>
    </w:p>
    <w:p w14:paraId="14033141">
      <w:pPr>
        <w:snapToGrid w:val="0"/>
        <w:spacing w:before="50" w:after="50"/>
        <w:rPr>
          <w:rFonts w:ascii="黑体" w:hAnsi="Times New Roman" w:eastAsia="黑体" w:cs="Times New Roman"/>
          <w:color w:val="auto"/>
          <w:sz w:val="44"/>
          <w:szCs w:val="21"/>
          <w:highlight w:val="none"/>
        </w:rPr>
      </w:pPr>
    </w:p>
    <w:p w14:paraId="0B71226E">
      <w:pPr>
        <w:snapToGrid w:val="0"/>
        <w:spacing w:before="50" w:after="50"/>
        <w:rPr>
          <w:rFonts w:ascii="黑体" w:hAnsi="Times New Roman" w:eastAsia="黑体" w:cs="Times New Roman"/>
          <w:color w:val="auto"/>
          <w:sz w:val="44"/>
          <w:szCs w:val="21"/>
          <w:highlight w:val="none"/>
        </w:rPr>
      </w:pPr>
    </w:p>
    <w:p w14:paraId="61D28260">
      <w:pPr>
        <w:snapToGrid w:val="0"/>
        <w:spacing w:before="50" w:after="50"/>
        <w:rPr>
          <w:rFonts w:ascii="黑体" w:hAnsi="Times New Roman" w:eastAsia="黑体" w:cs="Times New Roman"/>
          <w:color w:val="auto"/>
          <w:sz w:val="44"/>
          <w:szCs w:val="21"/>
          <w:highlight w:val="none"/>
        </w:rPr>
      </w:pPr>
    </w:p>
    <w:p w14:paraId="263F7C2A">
      <w:pPr>
        <w:snapToGrid w:val="0"/>
        <w:spacing w:before="50" w:after="50"/>
        <w:rPr>
          <w:rFonts w:ascii="黑体" w:hAnsi="Times New Roman" w:eastAsia="黑体" w:cs="Times New Roman"/>
          <w:color w:val="auto"/>
          <w:sz w:val="44"/>
          <w:szCs w:val="21"/>
          <w:highlight w:val="none"/>
        </w:rPr>
      </w:pPr>
    </w:p>
    <w:p w14:paraId="747873C1">
      <w:pPr>
        <w:snapToGrid w:val="0"/>
        <w:spacing w:before="50" w:after="50"/>
        <w:rPr>
          <w:rFonts w:ascii="黑体" w:hAnsi="Times New Roman" w:eastAsia="黑体" w:cs="Times New Roman"/>
          <w:color w:val="auto"/>
          <w:sz w:val="44"/>
          <w:szCs w:val="21"/>
          <w:highlight w:val="none"/>
        </w:rPr>
      </w:pPr>
    </w:p>
    <w:p w14:paraId="08A63D6E">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二、资格、资信证明文件要求</w:t>
      </w:r>
    </w:p>
    <w:p w14:paraId="09E1B4E1">
      <w:pPr>
        <w:snapToGrid w:val="0"/>
        <w:spacing w:before="50" w:after="50"/>
        <w:rPr>
          <w:rFonts w:ascii="黑体" w:hAnsi="Times New Roman" w:eastAsia="黑体" w:cs="Times New Roman"/>
          <w:color w:val="auto"/>
          <w:sz w:val="32"/>
          <w:szCs w:val="32"/>
          <w:highlight w:val="none"/>
        </w:rPr>
      </w:pPr>
    </w:p>
    <w:p w14:paraId="7EB0D9F1">
      <w:pPr>
        <w:numPr>
          <w:ilvl w:val="0"/>
          <w:numId w:val="4"/>
        </w:numPr>
        <w:snapToGrid w:val="0"/>
        <w:spacing w:before="50" w:after="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资格证明文件目录</w:t>
      </w:r>
    </w:p>
    <w:bookmarkEnd w:id="168"/>
    <w:bookmarkEnd w:id="169"/>
    <w:bookmarkEnd w:id="170"/>
    <w:p w14:paraId="2DE60363">
      <w:pPr>
        <w:snapToGrid w:val="0"/>
        <w:spacing w:line="360" w:lineRule="auto"/>
        <w:ind w:firstLine="482" w:firstLineChars="200"/>
        <w:rPr>
          <w:rFonts w:ascii="宋体" w:hAnsi="宋体" w:eastAsia="宋体" w:cs="宋体"/>
          <w:b/>
          <w:i/>
          <w:color w:val="auto"/>
          <w:kern w:val="0"/>
          <w:sz w:val="24"/>
          <w:szCs w:val="24"/>
          <w:highlight w:val="none"/>
          <w:u w:val="single"/>
        </w:rPr>
      </w:pPr>
      <w:bookmarkStart w:id="171" w:name="_Toc120614284"/>
      <w:r>
        <w:rPr>
          <w:rFonts w:hint="eastAsia" w:ascii="宋体" w:hAnsi="宋体" w:eastAsia="宋体" w:cs="宋体"/>
          <w:b/>
          <w:i/>
          <w:color w:val="auto"/>
          <w:kern w:val="0"/>
          <w:sz w:val="24"/>
          <w:szCs w:val="24"/>
          <w:highlight w:val="none"/>
          <w:u w:val="single"/>
        </w:rPr>
        <w:t xml:space="preserve">文件1  </w:t>
      </w:r>
      <w:r>
        <w:rPr>
          <w:rFonts w:ascii="宋体" w:hAnsi="宋体" w:eastAsia="宋体" w:cs="宋体"/>
          <w:i/>
          <w:color w:val="auto"/>
          <w:kern w:val="0"/>
          <w:sz w:val="24"/>
          <w:szCs w:val="24"/>
          <w:highlight w:val="none"/>
          <w:u w:val="single"/>
        </w:rPr>
        <w:t>法人或者其他组织的营业执照等证明文件</w:t>
      </w:r>
    </w:p>
    <w:p w14:paraId="14188997">
      <w:pPr>
        <w:snapToGrid w:val="0"/>
        <w:spacing w:line="360" w:lineRule="auto"/>
        <w:ind w:firstLine="482" w:firstLineChars="200"/>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文件2  </w:t>
      </w:r>
      <w:r>
        <w:rPr>
          <w:rFonts w:hint="eastAsia" w:ascii="宋体" w:hAnsi="宋体" w:eastAsia="宋体" w:cs="宋体"/>
          <w:i/>
          <w:color w:val="auto"/>
          <w:kern w:val="0"/>
          <w:sz w:val="24"/>
          <w:szCs w:val="24"/>
          <w:highlight w:val="none"/>
          <w:u w:val="single"/>
        </w:rPr>
        <w:t>2022或2023年度的财务状况报告或依法缴纳税收或社会保障资金的相关材料</w:t>
      </w:r>
    </w:p>
    <w:p w14:paraId="5DED4519">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文件3  </w:t>
      </w:r>
      <w:r>
        <w:rPr>
          <w:rFonts w:hint="eastAsia" w:ascii="宋体" w:hAnsi="宋体" w:eastAsia="宋体" w:cs="宋体"/>
          <w:i/>
          <w:color w:val="auto"/>
          <w:kern w:val="0"/>
          <w:sz w:val="24"/>
          <w:szCs w:val="24"/>
          <w:highlight w:val="none"/>
          <w:u w:val="single"/>
        </w:rPr>
        <w:t>具备履行合同所必需的设备和专业技术能力的书面声明或承诺书</w:t>
      </w:r>
    </w:p>
    <w:p w14:paraId="3FC7933A">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文件4</w:t>
      </w:r>
      <w:r>
        <w:rPr>
          <w:rFonts w:hint="eastAsia" w:ascii="宋体" w:hAnsi="宋体" w:eastAsia="宋体" w:cs="宋体"/>
          <w:i/>
          <w:color w:val="auto"/>
          <w:kern w:val="0"/>
          <w:sz w:val="24"/>
          <w:szCs w:val="24"/>
          <w:highlight w:val="none"/>
          <w:u w:val="single"/>
        </w:rPr>
        <w:t>参加政府采购活动前 3 年内在经营活动中没有重大违法记录的书面声明（</w:t>
      </w:r>
      <w:r>
        <w:rPr>
          <w:rFonts w:ascii="宋体" w:hAnsi="宋体" w:eastAsia="宋体" w:cs="宋体"/>
          <w:i/>
          <w:color w:val="auto"/>
          <w:kern w:val="0"/>
          <w:sz w:val="24"/>
          <w:szCs w:val="24"/>
          <w:highlight w:val="none"/>
          <w:u w:val="single"/>
        </w:rPr>
        <w:t>原件,</w:t>
      </w:r>
      <w:r>
        <w:rPr>
          <w:rFonts w:hint="eastAsia" w:ascii="宋体" w:hAnsi="宋体" w:eastAsia="宋体" w:cs="宋体"/>
          <w:i/>
          <w:color w:val="auto"/>
          <w:kern w:val="0"/>
          <w:sz w:val="24"/>
          <w:szCs w:val="24"/>
          <w:highlight w:val="none"/>
          <w:u w:val="single"/>
        </w:rPr>
        <w:t>格式见后）</w:t>
      </w:r>
    </w:p>
    <w:p w14:paraId="148D5EDD">
      <w:pPr>
        <w:snapToGrid w:val="0"/>
        <w:spacing w:line="360" w:lineRule="auto"/>
        <w:ind w:firstLine="472" w:firstLineChars="196"/>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文件5  </w:t>
      </w:r>
      <w:r>
        <w:rPr>
          <w:rFonts w:hint="eastAsia" w:ascii="宋体" w:hAnsi="宋体" w:eastAsia="宋体" w:cs="宋体"/>
          <w:i/>
          <w:color w:val="auto"/>
          <w:kern w:val="0"/>
          <w:sz w:val="24"/>
          <w:szCs w:val="24"/>
          <w:highlight w:val="none"/>
          <w:u w:val="single"/>
        </w:rPr>
        <w:t>授权书委托原件。</w:t>
      </w:r>
    </w:p>
    <w:p w14:paraId="153F1076">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文件6  </w:t>
      </w:r>
      <w:r>
        <w:rPr>
          <w:rFonts w:hint="eastAsia" w:ascii="宋体" w:hAnsi="宋体" w:eastAsia="宋体" w:cs="宋体"/>
          <w:i/>
          <w:color w:val="auto"/>
          <w:kern w:val="0"/>
          <w:sz w:val="24"/>
          <w:szCs w:val="24"/>
          <w:highlight w:val="none"/>
          <w:u w:val="single"/>
        </w:rPr>
        <w:t>被授权委托人员的身份证（复印件）。</w:t>
      </w:r>
    </w:p>
    <w:p w14:paraId="5C899C1C">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文件7</w:t>
      </w:r>
      <w:r>
        <w:rPr>
          <w:rFonts w:hint="eastAsia" w:ascii="宋体" w:hAnsi="宋体" w:eastAsia="宋体" w:cs="宋体"/>
          <w:i/>
          <w:color w:val="auto"/>
          <w:kern w:val="0"/>
          <w:sz w:val="24"/>
          <w:szCs w:val="24"/>
          <w:highlight w:val="none"/>
          <w:u w:val="single"/>
        </w:rPr>
        <w:t>未被“信用中国”网站（www.creditchina.gov.cn）列入失信被执行人、重大税收违法案件当事人名单、政府采购严重失信行为记录名单，查询结果网页打印件。</w:t>
      </w:r>
    </w:p>
    <w:p w14:paraId="2E4D112C">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文件8</w:t>
      </w:r>
      <w:r>
        <w:rPr>
          <w:rFonts w:ascii="宋体" w:hAnsi="宋体" w:eastAsia="宋体" w:cs="宋体"/>
          <w:i/>
          <w:color w:val="auto"/>
          <w:kern w:val="0"/>
          <w:sz w:val="24"/>
          <w:szCs w:val="24"/>
          <w:highlight w:val="none"/>
          <w:u w:val="single"/>
        </w:rPr>
        <w:t>……</w:t>
      </w:r>
    </w:p>
    <w:p w14:paraId="254F1822">
      <w:pPr>
        <w:keepNext/>
        <w:keepLines/>
        <w:spacing w:before="260" w:after="260" w:line="416" w:lineRule="auto"/>
        <w:outlineLvl w:val="2"/>
        <w:rPr>
          <w:rFonts w:ascii="黑体" w:hAnsi="宋体" w:eastAsia="黑体" w:cs="Times New Roman"/>
          <w:color w:val="auto"/>
          <w:sz w:val="30"/>
          <w:szCs w:val="30"/>
          <w:highlight w:val="none"/>
        </w:rPr>
      </w:pPr>
      <w:r>
        <w:rPr>
          <w:rFonts w:hint="eastAsia" w:ascii="宋体" w:hAnsi="宋体" w:eastAsia="宋体" w:cs="Times New Roman"/>
          <w:b/>
          <w:bCs/>
          <w:i/>
          <w:color w:val="auto"/>
          <w:sz w:val="24"/>
          <w:szCs w:val="24"/>
          <w:highlight w:val="none"/>
          <w:u w:val="single"/>
        </w:rPr>
        <w:t>以上资格证明文件要求加盖公章；</w:t>
      </w:r>
      <w:r>
        <w:rPr>
          <w:rFonts w:ascii="黑体" w:hAnsi="宋体" w:eastAsia="黑体" w:cs="Times New Roman"/>
          <w:bCs/>
          <w:color w:val="auto"/>
          <w:sz w:val="30"/>
          <w:szCs w:val="30"/>
          <w:highlight w:val="none"/>
        </w:rPr>
        <w:br w:type="page"/>
      </w:r>
      <w:r>
        <w:rPr>
          <w:rFonts w:hint="eastAsia" w:ascii="黑体" w:hAnsi="宋体" w:eastAsia="黑体" w:cs="Times New Roman"/>
          <w:color w:val="auto"/>
          <w:sz w:val="30"/>
          <w:szCs w:val="30"/>
          <w:highlight w:val="none"/>
        </w:rPr>
        <w:t>具备履行合同所必需的设备和专业技术能力的书面声明</w:t>
      </w:r>
    </w:p>
    <w:p w14:paraId="49FAAE3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我单位郑重声明：我单位具备履行本项采购合同所必需的设备和专业技术能力，为履行本项采购合同我公司具备如下主要设备和主要专业技术能力：</w:t>
      </w:r>
    </w:p>
    <w:p w14:paraId="4652639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主要设备有：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317E781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主要专业技术能力有：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4001AF4C">
      <w:pPr>
        <w:jc w:val="center"/>
        <w:rPr>
          <w:rFonts w:ascii="宋体" w:hAnsi="宋体" w:eastAsia="宋体" w:cs="Times New Roman"/>
          <w:bCs/>
          <w:color w:val="auto"/>
          <w:sz w:val="24"/>
          <w:szCs w:val="21"/>
          <w:highlight w:val="none"/>
        </w:rPr>
      </w:pPr>
    </w:p>
    <w:p w14:paraId="128F12E2">
      <w:pPr>
        <w:jc w:val="center"/>
        <w:rPr>
          <w:rFonts w:ascii="宋体" w:hAnsi="宋体" w:eastAsia="宋体" w:cs="Times New Roman"/>
          <w:bCs/>
          <w:color w:val="auto"/>
          <w:sz w:val="24"/>
          <w:szCs w:val="21"/>
          <w:highlight w:val="none"/>
        </w:rPr>
      </w:pPr>
    </w:p>
    <w:p w14:paraId="7F352359">
      <w:pPr>
        <w:jc w:val="center"/>
        <w:rPr>
          <w:rFonts w:ascii="宋体" w:hAnsi="宋体" w:eastAsia="宋体" w:cs="Times New Roman"/>
          <w:bCs/>
          <w:color w:val="auto"/>
          <w:sz w:val="24"/>
          <w:szCs w:val="21"/>
          <w:highlight w:val="none"/>
        </w:rPr>
      </w:pPr>
    </w:p>
    <w:p w14:paraId="6465BE43">
      <w:pPr>
        <w:jc w:val="center"/>
        <w:rPr>
          <w:rFonts w:ascii="宋体" w:hAnsi="宋体" w:eastAsia="宋体" w:cs="Times New Roman"/>
          <w:bCs/>
          <w:color w:val="auto"/>
          <w:sz w:val="24"/>
          <w:szCs w:val="21"/>
          <w:highlight w:val="none"/>
        </w:rPr>
      </w:pPr>
    </w:p>
    <w:p w14:paraId="2D7F907A">
      <w:pPr>
        <w:jc w:val="center"/>
        <w:rPr>
          <w:rFonts w:ascii="宋体" w:hAnsi="宋体" w:eastAsia="宋体" w:cs="Times New Roman"/>
          <w:bCs/>
          <w:color w:val="auto"/>
          <w:sz w:val="24"/>
          <w:szCs w:val="21"/>
          <w:highlight w:val="none"/>
        </w:rPr>
      </w:pPr>
    </w:p>
    <w:p w14:paraId="75479166">
      <w:pPr>
        <w:jc w:val="center"/>
        <w:rPr>
          <w:rFonts w:ascii="宋体" w:hAnsi="宋体" w:eastAsia="宋体" w:cs="Times New Roman"/>
          <w:bCs/>
          <w:color w:val="auto"/>
          <w:sz w:val="24"/>
          <w:szCs w:val="21"/>
          <w:highlight w:val="none"/>
        </w:rPr>
      </w:pPr>
    </w:p>
    <w:p w14:paraId="406BD60E">
      <w:pPr>
        <w:jc w:val="center"/>
        <w:rPr>
          <w:rFonts w:ascii="宋体" w:hAnsi="宋体" w:eastAsia="宋体" w:cs="Times New Roman"/>
          <w:bCs/>
          <w:color w:val="auto"/>
          <w:sz w:val="24"/>
          <w:szCs w:val="21"/>
          <w:highlight w:val="none"/>
        </w:rPr>
      </w:pPr>
    </w:p>
    <w:p w14:paraId="639FBFE5">
      <w:pPr>
        <w:jc w:val="center"/>
        <w:rPr>
          <w:rFonts w:ascii="宋体" w:hAnsi="宋体" w:eastAsia="宋体" w:cs="Times New Roman"/>
          <w:bCs/>
          <w:color w:val="auto"/>
          <w:sz w:val="24"/>
          <w:szCs w:val="21"/>
          <w:highlight w:val="none"/>
        </w:rPr>
      </w:pPr>
    </w:p>
    <w:p w14:paraId="14FB1BDA">
      <w:pPr>
        <w:jc w:val="center"/>
        <w:rPr>
          <w:rFonts w:ascii="宋体" w:hAnsi="宋体" w:eastAsia="宋体" w:cs="Times New Roman"/>
          <w:bCs/>
          <w:color w:val="auto"/>
          <w:sz w:val="24"/>
          <w:szCs w:val="21"/>
          <w:highlight w:val="none"/>
        </w:rPr>
      </w:pPr>
    </w:p>
    <w:p w14:paraId="59BCF748">
      <w:pPr>
        <w:jc w:val="center"/>
        <w:rPr>
          <w:rFonts w:ascii="宋体" w:hAnsi="宋体" w:eastAsia="宋体" w:cs="Times New Roman"/>
          <w:bCs/>
          <w:color w:val="auto"/>
          <w:sz w:val="24"/>
          <w:szCs w:val="21"/>
          <w:highlight w:val="none"/>
        </w:rPr>
      </w:pPr>
    </w:p>
    <w:p w14:paraId="427DE378">
      <w:pPr>
        <w:jc w:val="center"/>
        <w:rPr>
          <w:rFonts w:ascii="宋体" w:hAnsi="宋体" w:eastAsia="宋体" w:cs="Times New Roman"/>
          <w:bCs/>
          <w:color w:val="auto"/>
          <w:sz w:val="24"/>
          <w:szCs w:val="21"/>
          <w:highlight w:val="none"/>
        </w:rPr>
      </w:pPr>
    </w:p>
    <w:p w14:paraId="0D07E4FA">
      <w:pPr>
        <w:jc w:val="center"/>
        <w:rPr>
          <w:rFonts w:ascii="宋体" w:hAnsi="宋体" w:eastAsia="宋体" w:cs="Times New Roman"/>
          <w:bCs/>
          <w:color w:val="auto"/>
          <w:sz w:val="24"/>
          <w:szCs w:val="21"/>
          <w:highlight w:val="none"/>
        </w:rPr>
      </w:pPr>
    </w:p>
    <w:p w14:paraId="573BD005">
      <w:pPr>
        <w:jc w:val="center"/>
        <w:rPr>
          <w:rFonts w:ascii="宋体" w:hAnsi="宋体" w:eastAsia="宋体" w:cs="Times New Roman"/>
          <w:bCs/>
          <w:color w:val="auto"/>
          <w:sz w:val="24"/>
          <w:szCs w:val="21"/>
          <w:highlight w:val="none"/>
        </w:rPr>
      </w:pPr>
    </w:p>
    <w:p w14:paraId="42AEB410">
      <w:pPr>
        <w:jc w:val="center"/>
        <w:rPr>
          <w:rFonts w:ascii="宋体" w:hAnsi="宋体" w:eastAsia="宋体" w:cs="Times New Roman"/>
          <w:bCs/>
          <w:color w:val="auto"/>
          <w:sz w:val="24"/>
          <w:szCs w:val="21"/>
          <w:highlight w:val="none"/>
        </w:rPr>
      </w:pPr>
    </w:p>
    <w:p w14:paraId="3156320F">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参加采购活动前3年内在经营活动中没有重大违法记录</w:t>
      </w:r>
    </w:p>
    <w:p w14:paraId="24D8413D">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的书面声明</w:t>
      </w:r>
    </w:p>
    <w:p w14:paraId="49C3B841">
      <w:pPr>
        <w:spacing w:line="460" w:lineRule="exact"/>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声  明</w:t>
      </w:r>
    </w:p>
    <w:p w14:paraId="1C657A5F">
      <w:pPr>
        <w:spacing w:line="460" w:lineRule="exact"/>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我单位郑重声明：参加本次采购活动前3年内，我单位在经营活动中没有因违法经营受到刑事处罚或者责令停产停业、吊销许可证或者执照、较大数额罚款等行政处罚。</w:t>
      </w:r>
    </w:p>
    <w:p w14:paraId="0C116E16">
      <w:pPr>
        <w:jc w:val="center"/>
        <w:rPr>
          <w:rFonts w:ascii="宋体" w:hAnsi="宋体" w:eastAsia="宋体" w:cs="Times New Roman"/>
          <w:bCs/>
          <w:color w:val="auto"/>
          <w:sz w:val="24"/>
          <w:szCs w:val="21"/>
          <w:highlight w:val="none"/>
        </w:rPr>
      </w:pPr>
      <w:r>
        <w:rPr>
          <w:rFonts w:ascii="宋体" w:hAnsi="宋体" w:eastAsia="幼圆" w:cs="Times New Roman"/>
          <w:bCs/>
          <w:color w:val="auto"/>
          <w:sz w:val="44"/>
          <w:szCs w:val="44"/>
          <w:highlight w:val="none"/>
        </w:rPr>
        <w:br w:type="page"/>
      </w:r>
    </w:p>
    <w:p w14:paraId="0FB9F756">
      <w:pPr>
        <w:jc w:val="center"/>
        <w:rPr>
          <w:rFonts w:ascii="宋体" w:hAnsi="宋体" w:eastAsia="宋体" w:cs="Times New Roman"/>
          <w:bCs/>
          <w:color w:val="auto"/>
          <w:sz w:val="24"/>
          <w:szCs w:val="21"/>
          <w:highlight w:val="none"/>
        </w:rPr>
      </w:pPr>
    </w:p>
    <w:p w14:paraId="46FCA74C">
      <w:pPr>
        <w:jc w:val="center"/>
        <w:rPr>
          <w:rFonts w:ascii="宋体" w:hAnsi="宋体" w:eastAsia="宋体" w:cs="Times New Roman"/>
          <w:bCs/>
          <w:color w:val="auto"/>
          <w:sz w:val="24"/>
          <w:szCs w:val="21"/>
          <w:highlight w:val="none"/>
        </w:rPr>
      </w:pPr>
    </w:p>
    <w:p w14:paraId="4BC47BF7">
      <w:pPr>
        <w:jc w:val="center"/>
        <w:rPr>
          <w:rFonts w:ascii="宋体" w:hAnsi="宋体" w:eastAsia="宋体" w:cs="Times New Roman"/>
          <w:bCs/>
          <w:color w:val="auto"/>
          <w:sz w:val="24"/>
          <w:szCs w:val="21"/>
          <w:highlight w:val="none"/>
        </w:rPr>
      </w:pPr>
    </w:p>
    <w:p w14:paraId="63FD2ED4">
      <w:pPr>
        <w:rPr>
          <w:rFonts w:ascii="黑体" w:hAnsi="宋体" w:eastAsia="黑体" w:cs="Times New Roman"/>
          <w:b/>
          <w:color w:val="auto"/>
          <w:sz w:val="30"/>
          <w:szCs w:val="30"/>
          <w:highlight w:val="none"/>
        </w:rPr>
      </w:pPr>
    </w:p>
    <w:p w14:paraId="49306988">
      <w:pPr>
        <w:jc w:val="center"/>
        <w:rPr>
          <w:rFonts w:ascii="宋体" w:hAnsi="宋体" w:eastAsia="宋体" w:cs="Times New Roman"/>
          <w:b/>
          <w:bCs/>
          <w:color w:val="auto"/>
          <w:sz w:val="24"/>
          <w:szCs w:val="21"/>
          <w:highlight w:val="none"/>
        </w:rPr>
      </w:pPr>
      <w:r>
        <w:rPr>
          <w:rFonts w:hint="eastAsia" w:ascii="宋体" w:hAnsi="宋体" w:eastAsia="宋体" w:cs="Times New Roman"/>
          <w:b/>
          <w:color w:val="auto"/>
          <w:sz w:val="32"/>
          <w:szCs w:val="32"/>
          <w:highlight w:val="none"/>
        </w:rPr>
        <w:t>法人授权书</w:t>
      </w:r>
    </w:p>
    <w:p w14:paraId="1809A38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本授权书声明：____________（响应人名称）授权________________（被授权人的姓名）为我方就</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号项目采购活动的合法代理人，以本单位名义全权处理一切与该项目采购有关的事务。</w:t>
      </w:r>
    </w:p>
    <w:p w14:paraId="0EA5E5EC">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本授权书于______年____月____日起生效，特此声明。</w:t>
      </w:r>
    </w:p>
    <w:p w14:paraId="1F33CF68">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代理人（被授权人）签字：_______________________</w:t>
      </w:r>
    </w:p>
    <w:p w14:paraId="46EE36CB">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身份证号码：</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2763C75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联系电话：（手机）</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2C87FDA7">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单位名称：_____________________________________</w:t>
      </w:r>
    </w:p>
    <w:p w14:paraId="0E4E49E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授权单位（公章）：_________________________________</w:t>
      </w:r>
    </w:p>
    <w:p w14:paraId="52846DA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单位地址：</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4A07117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日期：</w:t>
      </w:r>
      <w:bookmarkStart w:id="172" w:name="_Hlt26671380"/>
      <w:bookmarkEnd w:id="172"/>
      <w:bookmarkStart w:id="173" w:name="_Hlt26955070"/>
      <w:bookmarkEnd w:id="173"/>
      <w:bookmarkStart w:id="174" w:name="_格式3__银行出具的资信证明"/>
      <w:bookmarkEnd w:id="174"/>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3BA346E9">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p w14:paraId="756FA592">
      <w:pPr>
        <w:ind w:firstLine="420"/>
        <w:rPr>
          <w:rFonts w:ascii="Times New Roman" w:hAnsi="Times New Roman" w:eastAsia="宋体" w:cs="Times New Roman"/>
          <w:color w:val="auto"/>
          <w:szCs w:val="21"/>
          <w:highlight w:val="none"/>
        </w:rPr>
      </w:pPr>
    </w:p>
    <w:p w14:paraId="775ECA2C">
      <w:pPr>
        <w:keepNext/>
        <w:keepLines/>
        <w:spacing w:before="260" w:after="260" w:line="416" w:lineRule="auto"/>
        <w:jc w:val="center"/>
        <w:outlineLvl w:val="2"/>
        <w:rPr>
          <w:rFonts w:ascii="宋体" w:hAnsi="宋体" w:eastAsia="幼圆" w:cs="Times New Roman"/>
          <w:b/>
          <w:bCs/>
          <w:color w:val="auto"/>
          <w:sz w:val="32"/>
          <w:szCs w:val="32"/>
          <w:highlight w:val="none"/>
        </w:rPr>
      </w:pPr>
      <w:r>
        <w:rPr>
          <w:rFonts w:ascii="黑体" w:hAnsi="宋体" w:eastAsia="黑体" w:cs="Times New Roman"/>
          <w:b/>
          <w:bCs/>
          <w:color w:val="auto"/>
          <w:sz w:val="32"/>
          <w:szCs w:val="32"/>
          <w:highlight w:val="none"/>
        </w:rPr>
        <w:br w:type="page"/>
      </w:r>
    </w:p>
    <w:p w14:paraId="6B258C07">
      <w:pPr>
        <w:keepNext/>
        <w:keepLines/>
        <w:spacing w:before="260" w:after="260" w:line="416" w:lineRule="auto"/>
        <w:jc w:val="center"/>
        <w:outlineLvl w:val="1"/>
        <w:rPr>
          <w:rFonts w:ascii="宋体" w:hAnsi="宋体" w:eastAsia="宋体" w:cs="Times New Roman"/>
          <w:b/>
          <w:color w:val="auto"/>
          <w:sz w:val="32"/>
          <w:szCs w:val="32"/>
          <w:highlight w:val="none"/>
        </w:rPr>
      </w:pPr>
      <w:r>
        <w:rPr>
          <w:rFonts w:hint="eastAsia" w:ascii="宋体" w:hAnsi="宋体" w:eastAsia="幼圆" w:cs="Times New Roman"/>
          <w:b/>
          <w:bCs/>
          <w:color w:val="auto"/>
          <w:sz w:val="32"/>
          <w:szCs w:val="32"/>
          <w:highlight w:val="none"/>
        </w:rPr>
        <w:t>三、</w:t>
      </w:r>
      <w:r>
        <w:rPr>
          <w:rFonts w:hint="eastAsia" w:ascii="宋体" w:hAnsi="宋体" w:eastAsia="宋体" w:cs="Times New Roman"/>
          <w:b/>
          <w:color w:val="auto"/>
          <w:sz w:val="32"/>
          <w:szCs w:val="32"/>
          <w:highlight w:val="none"/>
        </w:rPr>
        <w:t>响应函格式</w:t>
      </w:r>
    </w:p>
    <w:p w14:paraId="0851DA73">
      <w:pPr>
        <w:adjustRightInd w:val="0"/>
        <w:spacing w:line="420" w:lineRule="exact"/>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致：南京医科大学附属口腔医院采购中心</w:t>
      </w:r>
    </w:p>
    <w:p w14:paraId="00139134">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根据贵方的</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号采购文件，正式授权下述签字人_________________(姓名)代表我方______________（响应人的名称），全权处理本次项目响应的有关事宜。</w:t>
      </w:r>
    </w:p>
    <w:p w14:paraId="43DCF18A">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据此函，__________签字人兹宣布同意如下：</w:t>
      </w:r>
    </w:p>
    <w:p w14:paraId="5FC3043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1、按采购文件规定的各项要求，向买方提供所需货物与服务。</w:t>
      </w:r>
    </w:p>
    <w:p w14:paraId="3A010EA2">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2、我们完全理解贵方不一定将合同授予最低报价的响应人。</w:t>
      </w:r>
    </w:p>
    <w:p w14:paraId="29AE02F1">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3、我们已详细审核全部采购文件及其有效补充文件，我们知道必须放弃提出含糊不清或误解问题的权利。</w:t>
      </w:r>
    </w:p>
    <w:p w14:paraId="47B8B6D5">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4、我们同意从规定的开标日期起遵循本响应文件，并在规定的响应有效期期满之前均具有约束力。</w:t>
      </w:r>
    </w:p>
    <w:p w14:paraId="2AE31437">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5、如果在开标后规定的响应有效期内撤回响应或成交后拒绝签订合同，我们的响应保证金可不予退还。</w:t>
      </w:r>
    </w:p>
    <w:p w14:paraId="0B2B99ED">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6、同意向贵方提供贵方可能另外要求的与响应有关的任何证据或资料，并保证我方已提供和将要提供的文件是真实的、准确的。</w:t>
      </w:r>
    </w:p>
    <w:p w14:paraId="6CA4A2F8">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7、一旦我方成交,我方将根据采购文件的规定，严格履行合同的责任和义务,并保证在采购文件规定的时间完成项目，交付买方验收、使用。</w:t>
      </w:r>
    </w:p>
    <w:p w14:paraId="77B678D7">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8、与本响应有关的正式通讯地址为：</w:t>
      </w:r>
    </w:p>
    <w:p w14:paraId="6B336A2F">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地          址：</w:t>
      </w:r>
    </w:p>
    <w:p w14:paraId="3AEAC765">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邮          编：</w:t>
      </w:r>
    </w:p>
    <w:p w14:paraId="600B3D21">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电          话：</w:t>
      </w:r>
    </w:p>
    <w:p w14:paraId="7A6FEA4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传          真：</w:t>
      </w:r>
    </w:p>
    <w:p w14:paraId="5A8B3A38">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响应人开户行：</w:t>
      </w:r>
    </w:p>
    <w:p w14:paraId="4A444C31">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账          户： </w:t>
      </w:r>
    </w:p>
    <w:p w14:paraId="6CC28366">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响应人名称（公章）： </w:t>
      </w:r>
    </w:p>
    <w:p w14:paraId="63802177">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日           期：________年____月____日</w:t>
      </w:r>
    </w:p>
    <w:p w14:paraId="5AC5C03D">
      <w:pPr>
        <w:rPr>
          <w:rFonts w:ascii="宋体" w:hAnsi="宋体" w:eastAsia="宋体" w:cs="Times New Roman"/>
          <w:b/>
          <w:color w:val="auto"/>
          <w:sz w:val="32"/>
          <w:szCs w:val="32"/>
          <w:highlight w:val="none"/>
        </w:rPr>
      </w:pPr>
    </w:p>
    <w:p w14:paraId="34AE9A55">
      <w:pPr>
        <w:spacing w:line="460" w:lineRule="exact"/>
        <w:rPr>
          <w:rFonts w:ascii="宋体" w:hAnsi="宋体" w:eastAsia="宋体" w:cs="Times New Roman"/>
          <w:b/>
          <w:color w:val="auto"/>
          <w:sz w:val="32"/>
          <w:szCs w:val="32"/>
          <w:highlight w:val="none"/>
        </w:rPr>
      </w:pPr>
    </w:p>
    <w:p w14:paraId="4CF83733">
      <w:pPr>
        <w:spacing w:line="460" w:lineRule="exact"/>
        <w:rPr>
          <w:rFonts w:ascii="宋体" w:hAnsi="宋体" w:eastAsia="宋体" w:cs="Times New Roman"/>
          <w:b/>
          <w:color w:val="auto"/>
          <w:sz w:val="32"/>
          <w:szCs w:val="32"/>
          <w:highlight w:val="none"/>
        </w:rPr>
      </w:pPr>
    </w:p>
    <w:p w14:paraId="5952315B">
      <w:pPr>
        <w:spacing w:line="460" w:lineRule="exact"/>
        <w:rPr>
          <w:rFonts w:ascii="宋体" w:hAnsi="宋体" w:eastAsia="宋体" w:cs="Times New Roman"/>
          <w:b/>
          <w:color w:val="auto"/>
          <w:sz w:val="32"/>
          <w:szCs w:val="32"/>
          <w:highlight w:val="none"/>
        </w:rPr>
      </w:pPr>
    </w:p>
    <w:p w14:paraId="1235345B">
      <w:pPr>
        <w:spacing w:line="460" w:lineRule="exact"/>
        <w:rPr>
          <w:rFonts w:ascii="宋体" w:hAnsi="宋体" w:eastAsia="宋体" w:cs="Times New Roman"/>
          <w:b/>
          <w:color w:val="auto"/>
          <w:sz w:val="32"/>
          <w:szCs w:val="32"/>
          <w:highlight w:val="none"/>
        </w:rPr>
      </w:pPr>
    </w:p>
    <w:p w14:paraId="63BCDB4B">
      <w:pPr>
        <w:spacing w:line="460" w:lineRule="exact"/>
        <w:rPr>
          <w:rFonts w:ascii="宋体" w:hAnsi="宋体" w:eastAsia="宋体" w:cs="Times New Roman"/>
          <w:b/>
          <w:color w:val="auto"/>
          <w:sz w:val="32"/>
          <w:szCs w:val="32"/>
          <w:highlight w:val="none"/>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160B515D">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四、分项报价表</w:t>
      </w:r>
    </w:p>
    <w:p w14:paraId="3A0E7C85">
      <w:pPr>
        <w:rPr>
          <w:rFonts w:ascii="宋体" w:hAnsi="宋体" w:eastAsia="宋体" w:cs="Times New Roman"/>
          <w:color w:val="auto"/>
          <w:sz w:val="24"/>
          <w:szCs w:val="24"/>
          <w:highlight w:val="none"/>
        </w:rPr>
      </w:pPr>
    </w:p>
    <w:p w14:paraId="4E165F2B">
      <w:pPr>
        <w:jc w:val="center"/>
        <w:rPr>
          <w:rFonts w:ascii="宋体" w:hAnsi="宋体" w:eastAsia="宋体" w:cs="Times New Roman"/>
          <w:b/>
          <w:color w:val="auto"/>
          <w:sz w:val="24"/>
          <w:szCs w:val="24"/>
          <w:highlight w:val="none"/>
        </w:rPr>
      </w:pPr>
      <w:r>
        <w:rPr>
          <w:rFonts w:hint="eastAsia" w:ascii="黑体" w:hAnsi="黑体" w:eastAsia="黑体"/>
          <w:color w:val="auto"/>
          <w:sz w:val="40"/>
          <w:szCs w:val="44"/>
          <w:highlight w:val="none"/>
        </w:rPr>
        <w:t xml:space="preserve"> </w:t>
      </w:r>
      <w:r>
        <w:rPr>
          <w:rFonts w:hint="eastAsia" w:ascii="黑体" w:hAnsi="黑体" w:eastAsia="黑体"/>
          <w:color w:val="auto"/>
          <w:sz w:val="24"/>
          <w:szCs w:val="24"/>
          <w:highlight w:val="none"/>
        </w:rPr>
        <w:t xml:space="preserve"> （一）</w:t>
      </w:r>
      <w:r>
        <w:rPr>
          <w:rFonts w:hint="eastAsia" w:ascii="宋体" w:hAnsi="宋体" w:eastAsia="宋体" w:cs="Times New Roman"/>
          <w:b/>
          <w:color w:val="auto"/>
          <w:sz w:val="24"/>
          <w:szCs w:val="24"/>
          <w:highlight w:val="none"/>
        </w:rPr>
        <w:t>院外门诊污水处理设备加药</w:t>
      </w:r>
    </w:p>
    <w:tbl>
      <w:tblPr>
        <w:tblStyle w:val="60"/>
        <w:tblpPr w:leftFromText="180" w:rightFromText="180" w:vertAnchor="text" w:horzAnchor="page" w:tblpX="1668" w:tblpY="516"/>
        <w:tblOverlap w:val="never"/>
        <w:tblW w:w="8782" w:type="dxa"/>
        <w:tblInd w:w="0" w:type="dxa"/>
        <w:tblLayout w:type="fixed"/>
        <w:tblCellMar>
          <w:top w:w="0" w:type="dxa"/>
          <w:left w:w="0" w:type="dxa"/>
          <w:bottom w:w="0" w:type="dxa"/>
          <w:right w:w="0" w:type="dxa"/>
        </w:tblCellMar>
      </w:tblPr>
      <w:tblGrid>
        <w:gridCol w:w="1870"/>
        <w:gridCol w:w="887"/>
        <w:gridCol w:w="1188"/>
        <w:gridCol w:w="1487"/>
        <w:gridCol w:w="1438"/>
        <w:gridCol w:w="1912"/>
      </w:tblGrid>
      <w:tr w14:paraId="64C8BC50">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8C57">
            <w:pPr>
              <w:widowControl/>
              <w:jc w:val="center"/>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门诊名称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5E6C">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0524">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设备数量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66D0">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次数/台/年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1A2D">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加药费用</w:t>
            </w:r>
            <w:r>
              <w:rPr>
                <w:rFonts w:hint="eastAsia" w:ascii="宋体" w:hAnsi="宋体" w:eastAsia="宋体" w:cs="宋体"/>
                <w:b/>
                <w:color w:val="auto"/>
                <w:sz w:val="24"/>
                <w:szCs w:val="24"/>
                <w:highlight w:val="none"/>
                <w:lang w:val="en-US" w:eastAsia="zh-CN"/>
              </w:rPr>
              <w:t xml:space="preserve"> </w:t>
            </w:r>
          </w:p>
          <w:p w14:paraId="357F7909">
            <w:pPr>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元/次*台</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86A2">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金额</w:t>
            </w:r>
            <w:r>
              <w:rPr>
                <w:rFonts w:hint="eastAsia" w:ascii="宋体" w:hAnsi="宋体" w:eastAsia="宋体" w:cs="宋体"/>
                <w:b/>
                <w:color w:val="auto"/>
                <w:sz w:val="24"/>
                <w:szCs w:val="24"/>
                <w:highlight w:val="none"/>
                <w:lang w:val="en-US" w:eastAsia="zh-CN"/>
              </w:rPr>
              <w:t xml:space="preserve"> 元/年</w:t>
            </w:r>
          </w:p>
        </w:tc>
      </w:tr>
      <w:tr w14:paraId="5E72B6A9">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1975">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506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7E3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F4D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1E79">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2A1">
            <w:pPr>
              <w:jc w:val="center"/>
              <w:rPr>
                <w:rFonts w:ascii="宋体" w:hAnsi="宋体" w:eastAsia="宋体" w:cs="宋体"/>
                <w:color w:val="auto"/>
                <w:sz w:val="24"/>
                <w:szCs w:val="24"/>
                <w:highlight w:val="none"/>
              </w:rPr>
            </w:pPr>
          </w:p>
        </w:tc>
      </w:tr>
      <w:tr w14:paraId="357E7815">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F5ED">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D33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312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47C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B353">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74D7">
            <w:pPr>
              <w:jc w:val="center"/>
              <w:rPr>
                <w:rFonts w:ascii="宋体" w:hAnsi="宋体" w:eastAsia="宋体" w:cs="宋体"/>
                <w:color w:val="auto"/>
                <w:sz w:val="24"/>
                <w:szCs w:val="24"/>
                <w:highlight w:val="none"/>
              </w:rPr>
            </w:pPr>
          </w:p>
        </w:tc>
      </w:tr>
      <w:tr w14:paraId="3C1FE552">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026D">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47E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337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A36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4BB8">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FAD6">
            <w:pPr>
              <w:jc w:val="center"/>
              <w:rPr>
                <w:rFonts w:ascii="宋体" w:hAnsi="宋体" w:eastAsia="宋体" w:cs="宋体"/>
                <w:color w:val="auto"/>
                <w:sz w:val="24"/>
                <w:szCs w:val="24"/>
                <w:highlight w:val="none"/>
              </w:rPr>
            </w:pPr>
          </w:p>
        </w:tc>
      </w:tr>
      <w:tr w14:paraId="2AB95F85">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9D49">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7FB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C1C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FA5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FDB">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E162">
            <w:pPr>
              <w:jc w:val="center"/>
              <w:rPr>
                <w:rFonts w:ascii="宋体" w:hAnsi="宋体" w:eastAsia="宋体" w:cs="宋体"/>
                <w:color w:val="auto"/>
                <w:sz w:val="24"/>
                <w:szCs w:val="24"/>
                <w:highlight w:val="none"/>
              </w:rPr>
            </w:pPr>
          </w:p>
        </w:tc>
      </w:tr>
      <w:tr w14:paraId="5E310411">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CB09">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4ED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937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238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54C0">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85E3">
            <w:pPr>
              <w:jc w:val="center"/>
              <w:rPr>
                <w:rFonts w:ascii="宋体" w:hAnsi="宋体" w:eastAsia="宋体" w:cs="宋体"/>
                <w:color w:val="auto"/>
                <w:sz w:val="24"/>
                <w:szCs w:val="24"/>
                <w:highlight w:val="none"/>
              </w:rPr>
            </w:pPr>
          </w:p>
        </w:tc>
      </w:tr>
      <w:tr w14:paraId="63BB25C8">
        <w:tblPrEx>
          <w:tblCellMar>
            <w:top w:w="0" w:type="dxa"/>
            <w:left w:w="0" w:type="dxa"/>
            <w:bottom w:w="0" w:type="dxa"/>
            <w:right w:w="0" w:type="dxa"/>
          </w:tblCellMar>
        </w:tblPrEx>
        <w:trPr>
          <w:trHeight w:val="415"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8058">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D91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FC3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CBC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362B">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5952">
            <w:pPr>
              <w:jc w:val="center"/>
              <w:rPr>
                <w:rFonts w:ascii="宋体" w:hAnsi="宋体" w:eastAsia="宋体" w:cs="宋体"/>
                <w:color w:val="auto"/>
                <w:sz w:val="24"/>
                <w:szCs w:val="24"/>
                <w:highlight w:val="none"/>
              </w:rPr>
            </w:pPr>
          </w:p>
        </w:tc>
      </w:tr>
      <w:tr w14:paraId="7B994542">
        <w:tblPrEx>
          <w:tblCellMar>
            <w:top w:w="0" w:type="dxa"/>
            <w:left w:w="0" w:type="dxa"/>
            <w:bottom w:w="0" w:type="dxa"/>
            <w:right w:w="0" w:type="dxa"/>
          </w:tblCellMar>
        </w:tblPrEx>
        <w:trPr>
          <w:trHeight w:val="416"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D39B">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71E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902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F9A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363E">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418A">
            <w:pPr>
              <w:jc w:val="center"/>
              <w:rPr>
                <w:rFonts w:ascii="宋体" w:hAnsi="宋体" w:eastAsia="宋体" w:cs="宋体"/>
                <w:color w:val="auto"/>
                <w:sz w:val="24"/>
                <w:szCs w:val="24"/>
                <w:highlight w:val="none"/>
              </w:rPr>
            </w:pPr>
          </w:p>
        </w:tc>
      </w:tr>
      <w:tr w14:paraId="068C912A">
        <w:tblPrEx>
          <w:tblCellMar>
            <w:top w:w="0" w:type="dxa"/>
            <w:left w:w="0" w:type="dxa"/>
            <w:bottom w:w="0" w:type="dxa"/>
            <w:right w:w="0" w:type="dxa"/>
          </w:tblCellMar>
        </w:tblPrEx>
        <w:trPr>
          <w:trHeight w:val="416"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E385">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九门诊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729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33F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C66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FD77">
            <w:pPr>
              <w:jc w:val="center"/>
              <w:rPr>
                <w:rFonts w:ascii="宋体" w:hAnsi="宋体" w:eastAsia="宋体" w:cs="宋体"/>
                <w:color w:val="auto"/>
                <w:sz w:val="24"/>
                <w:szCs w:val="24"/>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CBB2">
            <w:pPr>
              <w:jc w:val="center"/>
              <w:rPr>
                <w:rFonts w:ascii="宋体" w:hAnsi="宋体" w:eastAsia="宋体" w:cs="宋体"/>
                <w:color w:val="auto"/>
                <w:sz w:val="24"/>
                <w:szCs w:val="24"/>
                <w:highlight w:val="none"/>
              </w:rPr>
            </w:pPr>
          </w:p>
        </w:tc>
      </w:tr>
      <w:tr w14:paraId="6084EBDC">
        <w:tblPrEx>
          <w:tblCellMar>
            <w:top w:w="0" w:type="dxa"/>
            <w:left w:w="0" w:type="dxa"/>
            <w:bottom w:w="0" w:type="dxa"/>
            <w:right w:w="0" w:type="dxa"/>
          </w:tblCellMar>
        </w:tblPrEx>
        <w:trPr>
          <w:trHeight w:val="424"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6739">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9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1A1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/年</w:t>
            </w:r>
          </w:p>
        </w:tc>
      </w:tr>
    </w:tbl>
    <w:p w14:paraId="782C4219">
      <w:pPr>
        <w:ind w:firstLine="800" w:firstLineChars="200"/>
        <w:rPr>
          <w:color w:val="auto"/>
          <w:sz w:val="40"/>
          <w:szCs w:val="44"/>
          <w:highlight w:val="none"/>
        </w:rPr>
      </w:pPr>
    </w:p>
    <w:p w14:paraId="373EE152">
      <w:pPr>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（二）院外门诊污水处理设备维保</w:t>
      </w:r>
    </w:p>
    <w:tbl>
      <w:tblPr>
        <w:tblStyle w:val="60"/>
        <w:tblpPr w:leftFromText="180" w:rightFromText="180" w:vertAnchor="text" w:horzAnchor="margin" w:tblpX="1" w:tblpY="158"/>
        <w:tblOverlap w:val="never"/>
        <w:tblW w:w="8654" w:type="dxa"/>
        <w:tblInd w:w="0" w:type="dxa"/>
        <w:tblLayout w:type="fixed"/>
        <w:tblCellMar>
          <w:top w:w="0" w:type="dxa"/>
          <w:left w:w="0" w:type="dxa"/>
          <w:bottom w:w="0" w:type="dxa"/>
          <w:right w:w="0" w:type="dxa"/>
        </w:tblCellMar>
      </w:tblPr>
      <w:tblGrid>
        <w:gridCol w:w="1730"/>
        <w:gridCol w:w="1731"/>
        <w:gridCol w:w="1731"/>
        <w:gridCol w:w="1731"/>
        <w:gridCol w:w="1731"/>
      </w:tblGrid>
      <w:tr w14:paraId="5104D080">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43B7">
            <w:pPr>
              <w:widowControl/>
              <w:jc w:val="center"/>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门诊名称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B981">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E0CC">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设备数量</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3934">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r>
              <w:rPr>
                <w:rFonts w:hint="eastAsia" w:ascii="宋体" w:hAnsi="宋体" w:eastAsia="宋体" w:cs="宋体"/>
                <w:b/>
                <w:color w:val="auto"/>
                <w:sz w:val="24"/>
                <w:szCs w:val="24"/>
                <w:highlight w:val="none"/>
                <w:lang w:val="en-US" w:eastAsia="zh-CN"/>
              </w:rPr>
              <w:t xml:space="preserve"> 元</w:t>
            </w:r>
            <w:r>
              <w:rPr>
                <w:rFonts w:hint="eastAsia" w:ascii="宋体" w:hAnsi="宋体" w:eastAsia="宋体" w:cs="宋体"/>
                <w:b/>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5BFF">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金额</w:t>
            </w:r>
            <w:r>
              <w:rPr>
                <w:rFonts w:hint="eastAsia" w:ascii="宋体" w:hAnsi="宋体" w:eastAsia="宋体" w:cs="宋体"/>
                <w:b/>
                <w:color w:val="auto"/>
                <w:sz w:val="24"/>
                <w:szCs w:val="24"/>
                <w:highlight w:val="none"/>
                <w:lang w:val="en-US" w:eastAsia="zh-CN"/>
              </w:rPr>
              <w:t xml:space="preserve"> 元/年</w:t>
            </w:r>
          </w:p>
        </w:tc>
      </w:tr>
      <w:tr w14:paraId="6946B992">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B1CE">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8FE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2F2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1E55">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1EB9">
            <w:pPr>
              <w:jc w:val="center"/>
              <w:rPr>
                <w:rFonts w:ascii="宋体" w:hAnsi="宋体" w:eastAsia="宋体" w:cs="宋体"/>
                <w:color w:val="auto"/>
                <w:sz w:val="24"/>
                <w:szCs w:val="24"/>
                <w:highlight w:val="none"/>
              </w:rPr>
            </w:pPr>
          </w:p>
        </w:tc>
      </w:tr>
      <w:tr w14:paraId="223E6FB0">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66CF">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9AC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C36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6B70">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31E6">
            <w:pPr>
              <w:jc w:val="center"/>
              <w:rPr>
                <w:rFonts w:ascii="宋体" w:hAnsi="宋体" w:eastAsia="宋体" w:cs="宋体"/>
                <w:color w:val="auto"/>
                <w:sz w:val="24"/>
                <w:szCs w:val="24"/>
                <w:highlight w:val="none"/>
              </w:rPr>
            </w:pPr>
          </w:p>
        </w:tc>
      </w:tr>
      <w:tr w14:paraId="57AF58C8">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D22C">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84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173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0880">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4645">
            <w:pPr>
              <w:jc w:val="center"/>
              <w:rPr>
                <w:rFonts w:ascii="宋体" w:hAnsi="宋体" w:eastAsia="宋体" w:cs="宋体"/>
                <w:color w:val="auto"/>
                <w:sz w:val="24"/>
                <w:szCs w:val="24"/>
                <w:highlight w:val="none"/>
              </w:rPr>
            </w:pPr>
          </w:p>
        </w:tc>
      </w:tr>
      <w:tr w14:paraId="226CD1A0">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51DB">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9D3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0FA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81A6">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E3EF">
            <w:pPr>
              <w:jc w:val="center"/>
              <w:rPr>
                <w:rFonts w:ascii="宋体" w:hAnsi="宋体" w:eastAsia="宋体" w:cs="宋体"/>
                <w:color w:val="auto"/>
                <w:sz w:val="24"/>
                <w:szCs w:val="24"/>
                <w:highlight w:val="none"/>
              </w:rPr>
            </w:pPr>
          </w:p>
        </w:tc>
      </w:tr>
      <w:tr w14:paraId="3BA88E7A">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740A">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419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1A3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7D2D">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DB77">
            <w:pPr>
              <w:jc w:val="center"/>
              <w:rPr>
                <w:rFonts w:ascii="宋体" w:hAnsi="宋体" w:eastAsia="宋体" w:cs="宋体"/>
                <w:color w:val="auto"/>
                <w:sz w:val="24"/>
                <w:szCs w:val="24"/>
                <w:highlight w:val="none"/>
              </w:rPr>
            </w:pPr>
          </w:p>
        </w:tc>
      </w:tr>
      <w:tr w14:paraId="57565CEE">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6DFB">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7C3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6C8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A184">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192E">
            <w:pPr>
              <w:jc w:val="center"/>
              <w:rPr>
                <w:rFonts w:ascii="宋体" w:hAnsi="宋体" w:eastAsia="宋体" w:cs="宋体"/>
                <w:color w:val="auto"/>
                <w:sz w:val="24"/>
                <w:szCs w:val="24"/>
                <w:highlight w:val="none"/>
              </w:rPr>
            </w:pPr>
          </w:p>
        </w:tc>
      </w:tr>
      <w:tr w14:paraId="20AB7509">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E56B">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12E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61B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F0AC">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9AE4">
            <w:pPr>
              <w:jc w:val="center"/>
              <w:rPr>
                <w:rFonts w:ascii="宋体" w:hAnsi="宋体" w:eastAsia="宋体" w:cs="宋体"/>
                <w:color w:val="auto"/>
                <w:sz w:val="24"/>
                <w:szCs w:val="24"/>
                <w:highlight w:val="none"/>
              </w:rPr>
            </w:pPr>
          </w:p>
        </w:tc>
      </w:tr>
      <w:tr w14:paraId="37889041">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DA04">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九门诊</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17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412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86D0">
            <w:pPr>
              <w:jc w:val="center"/>
              <w:rPr>
                <w:rFonts w:ascii="宋体" w:hAnsi="宋体" w:eastAsia="宋体" w:cs="宋体"/>
                <w:color w:val="auto"/>
                <w:sz w:val="24"/>
                <w:szCs w:val="24"/>
                <w:highlight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E282">
            <w:pPr>
              <w:jc w:val="center"/>
              <w:rPr>
                <w:rFonts w:ascii="宋体" w:hAnsi="宋体" w:eastAsia="宋体" w:cs="宋体"/>
                <w:color w:val="auto"/>
                <w:sz w:val="24"/>
                <w:szCs w:val="24"/>
                <w:highlight w:val="none"/>
              </w:rPr>
            </w:pPr>
          </w:p>
        </w:tc>
      </w:tr>
      <w:tr w14:paraId="67676775">
        <w:tblPrEx>
          <w:tblCellMar>
            <w:top w:w="0" w:type="dxa"/>
            <w:left w:w="0" w:type="dxa"/>
            <w:bottom w:w="0" w:type="dxa"/>
            <w:right w:w="0" w:type="dxa"/>
          </w:tblCellMar>
        </w:tblPrEx>
        <w:trPr>
          <w:trHeight w:val="401"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B65">
            <w:pPr>
              <w:widowControl/>
              <w:jc w:val="center"/>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9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DD1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/年</w:t>
            </w:r>
          </w:p>
        </w:tc>
      </w:tr>
    </w:tbl>
    <w:p w14:paraId="37B6A3F5">
      <w:pPr>
        <w:rPr>
          <w:b/>
          <w:color w:val="auto"/>
          <w:sz w:val="40"/>
          <w:szCs w:val="52"/>
          <w:highlight w:val="none"/>
        </w:rPr>
        <w:sectPr>
          <w:pgSz w:w="11906" w:h="16838"/>
          <w:pgMar w:top="1440" w:right="1800" w:bottom="1440" w:left="1800" w:header="851" w:footer="992" w:gutter="0"/>
          <w:cols w:space="425" w:num="1"/>
          <w:docGrid w:type="lines" w:linePitch="312" w:charSpace="0"/>
        </w:sectPr>
      </w:pPr>
    </w:p>
    <w:p w14:paraId="038CCCC5">
      <w:pPr>
        <w:rPr>
          <w:rFonts w:ascii="宋体" w:hAnsi="宋体" w:eastAsia="宋体" w:cs="Times New Roman"/>
          <w:color w:val="auto"/>
          <w:sz w:val="24"/>
          <w:szCs w:val="24"/>
          <w:highlight w:val="none"/>
        </w:rPr>
      </w:pPr>
    </w:p>
    <w:p w14:paraId="64805455">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五、技术及服务参数响应及偏离表</w:t>
      </w:r>
    </w:p>
    <w:p w14:paraId="1F9F22B2">
      <w:pPr>
        <w:jc w:val="center"/>
        <w:rPr>
          <w:rFonts w:ascii="宋体" w:hAnsi="宋体" w:eastAsia="宋体" w:cs="Times New Roman"/>
          <w:b/>
          <w:color w:val="auto"/>
          <w:sz w:val="32"/>
          <w:szCs w:val="32"/>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4E2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205BDC2B">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852" w:type="dxa"/>
            <w:vAlign w:val="center"/>
          </w:tcPr>
          <w:p w14:paraId="35FFE472">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采购要求</w:t>
            </w:r>
          </w:p>
        </w:tc>
        <w:tc>
          <w:tcPr>
            <w:tcW w:w="2852" w:type="dxa"/>
            <w:vAlign w:val="center"/>
          </w:tcPr>
          <w:p w14:paraId="138D70BA">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响应响应</w:t>
            </w:r>
          </w:p>
        </w:tc>
        <w:tc>
          <w:tcPr>
            <w:tcW w:w="1308" w:type="dxa"/>
            <w:vAlign w:val="center"/>
          </w:tcPr>
          <w:p w14:paraId="6AA563BA">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超出、符合或偏离</w:t>
            </w:r>
          </w:p>
        </w:tc>
        <w:tc>
          <w:tcPr>
            <w:tcW w:w="1173" w:type="dxa"/>
            <w:vAlign w:val="center"/>
          </w:tcPr>
          <w:p w14:paraId="1AF89EC5">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原因</w:t>
            </w:r>
          </w:p>
        </w:tc>
      </w:tr>
      <w:tr w14:paraId="37BE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7E870AE9">
            <w:pPr>
              <w:jc w:val="center"/>
              <w:rPr>
                <w:rFonts w:ascii="宋体" w:hAnsi="宋体" w:eastAsia="宋体" w:cs="Times New Roman"/>
                <w:color w:val="auto"/>
                <w:sz w:val="24"/>
                <w:szCs w:val="24"/>
                <w:highlight w:val="none"/>
              </w:rPr>
            </w:pPr>
          </w:p>
        </w:tc>
        <w:tc>
          <w:tcPr>
            <w:tcW w:w="2852" w:type="dxa"/>
          </w:tcPr>
          <w:p w14:paraId="65C02019">
            <w:pPr>
              <w:jc w:val="center"/>
              <w:rPr>
                <w:rFonts w:ascii="宋体" w:hAnsi="宋体" w:eastAsia="宋体" w:cs="Times New Roman"/>
                <w:color w:val="auto"/>
                <w:sz w:val="24"/>
                <w:szCs w:val="24"/>
                <w:highlight w:val="none"/>
              </w:rPr>
            </w:pPr>
          </w:p>
        </w:tc>
        <w:tc>
          <w:tcPr>
            <w:tcW w:w="2852" w:type="dxa"/>
          </w:tcPr>
          <w:p w14:paraId="4AF7E894">
            <w:pPr>
              <w:jc w:val="center"/>
              <w:rPr>
                <w:rFonts w:ascii="宋体" w:hAnsi="宋体" w:eastAsia="宋体" w:cs="Times New Roman"/>
                <w:color w:val="auto"/>
                <w:sz w:val="24"/>
                <w:szCs w:val="24"/>
                <w:highlight w:val="none"/>
              </w:rPr>
            </w:pPr>
          </w:p>
        </w:tc>
        <w:tc>
          <w:tcPr>
            <w:tcW w:w="1308" w:type="dxa"/>
          </w:tcPr>
          <w:p w14:paraId="6FB341AE">
            <w:pPr>
              <w:jc w:val="center"/>
              <w:rPr>
                <w:rFonts w:ascii="宋体" w:hAnsi="宋体" w:eastAsia="宋体" w:cs="Times New Roman"/>
                <w:color w:val="auto"/>
                <w:sz w:val="24"/>
                <w:szCs w:val="24"/>
                <w:highlight w:val="none"/>
              </w:rPr>
            </w:pPr>
          </w:p>
        </w:tc>
        <w:tc>
          <w:tcPr>
            <w:tcW w:w="1173" w:type="dxa"/>
          </w:tcPr>
          <w:p w14:paraId="38C838ED">
            <w:pPr>
              <w:jc w:val="center"/>
              <w:rPr>
                <w:rFonts w:ascii="宋体" w:hAnsi="宋体" w:eastAsia="宋体" w:cs="Times New Roman"/>
                <w:color w:val="auto"/>
                <w:sz w:val="24"/>
                <w:szCs w:val="24"/>
                <w:highlight w:val="none"/>
              </w:rPr>
            </w:pPr>
          </w:p>
        </w:tc>
      </w:tr>
      <w:tr w14:paraId="57BE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38CB18D5">
            <w:pPr>
              <w:jc w:val="center"/>
              <w:rPr>
                <w:rFonts w:ascii="宋体" w:hAnsi="宋体" w:eastAsia="宋体" w:cs="Times New Roman"/>
                <w:color w:val="auto"/>
                <w:sz w:val="24"/>
                <w:szCs w:val="24"/>
                <w:highlight w:val="none"/>
              </w:rPr>
            </w:pPr>
          </w:p>
        </w:tc>
        <w:tc>
          <w:tcPr>
            <w:tcW w:w="2852" w:type="dxa"/>
          </w:tcPr>
          <w:p w14:paraId="44111071">
            <w:pPr>
              <w:jc w:val="center"/>
              <w:rPr>
                <w:rFonts w:ascii="宋体" w:hAnsi="宋体" w:eastAsia="宋体" w:cs="Times New Roman"/>
                <w:color w:val="auto"/>
                <w:sz w:val="24"/>
                <w:szCs w:val="24"/>
                <w:highlight w:val="none"/>
              </w:rPr>
            </w:pPr>
          </w:p>
        </w:tc>
        <w:tc>
          <w:tcPr>
            <w:tcW w:w="2852" w:type="dxa"/>
          </w:tcPr>
          <w:p w14:paraId="7C9C1E45">
            <w:pPr>
              <w:jc w:val="center"/>
              <w:rPr>
                <w:rFonts w:ascii="宋体" w:hAnsi="宋体" w:eastAsia="宋体" w:cs="Times New Roman"/>
                <w:color w:val="auto"/>
                <w:sz w:val="24"/>
                <w:szCs w:val="24"/>
                <w:highlight w:val="none"/>
              </w:rPr>
            </w:pPr>
          </w:p>
        </w:tc>
        <w:tc>
          <w:tcPr>
            <w:tcW w:w="1308" w:type="dxa"/>
          </w:tcPr>
          <w:p w14:paraId="1A5FF649">
            <w:pPr>
              <w:jc w:val="center"/>
              <w:rPr>
                <w:rFonts w:ascii="宋体" w:hAnsi="宋体" w:eastAsia="宋体" w:cs="Times New Roman"/>
                <w:color w:val="auto"/>
                <w:sz w:val="24"/>
                <w:szCs w:val="24"/>
                <w:highlight w:val="none"/>
              </w:rPr>
            </w:pPr>
          </w:p>
        </w:tc>
        <w:tc>
          <w:tcPr>
            <w:tcW w:w="1173" w:type="dxa"/>
          </w:tcPr>
          <w:p w14:paraId="46C3BB0D">
            <w:pPr>
              <w:jc w:val="center"/>
              <w:rPr>
                <w:rFonts w:ascii="宋体" w:hAnsi="宋体" w:eastAsia="宋体" w:cs="Times New Roman"/>
                <w:color w:val="auto"/>
                <w:sz w:val="24"/>
                <w:szCs w:val="24"/>
                <w:highlight w:val="none"/>
              </w:rPr>
            </w:pPr>
          </w:p>
        </w:tc>
      </w:tr>
      <w:tr w14:paraId="385C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6CF16E29">
            <w:pPr>
              <w:jc w:val="center"/>
              <w:rPr>
                <w:rFonts w:ascii="宋体" w:hAnsi="宋体" w:eastAsia="宋体" w:cs="Times New Roman"/>
                <w:color w:val="auto"/>
                <w:sz w:val="24"/>
                <w:szCs w:val="24"/>
                <w:highlight w:val="none"/>
              </w:rPr>
            </w:pPr>
          </w:p>
        </w:tc>
        <w:tc>
          <w:tcPr>
            <w:tcW w:w="2852" w:type="dxa"/>
          </w:tcPr>
          <w:p w14:paraId="56F46EFF">
            <w:pPr>
              <w:jc w:val="center"/>
              <w:rPr>
                <w:rFonts w:ascii="宋体" w:hAnsi="宋体" w:eastAsia="宋体" w:cs="Times New Roman"/>
                <w:color w:val="auto"/>
                <w:sz w:val="24"/>
                <w:szCs w:val="24"/>
                <w:highlight w:val="none"/>
              </w:rPr>
            </w:pPr>
          </w:p>
        </w:tc>
        <w:tc>
          <w:tcPr>
            <w:tcW w:w="2852" w:type="dxa"/>
          </w:tcPr>
          <w:p w14:paraId="7D83AED5">
            <w:pPr>
              <w:jc w:val="center"/>
              <w:rPr>
                <w:rFonts w:ascii="宋体" w:hAnsi="宋体" w:eastAsia="宋体" w:cs="Times New Roman"/>
                <w:color w:val="auto"/>
                <w:sz w:val="24"/>
                <w:szCs w:val="24"/>
                <w:highlight w:val="none"/>
              </w:rPr>
            </w:pPr>
          </w:p>
        </w:tc>
        <w:tc>
          <w:tcPr>
            <w:tcW w:w="1308" w:type="dxa"/>
          </w:tcPr>
          <w:p w14:paraId="5F1692CC">
            <w:pPr>
              <w:jc w:val="center"/>
              <w:rPr>
                <w:rFonts w:ascii="宋体" w:hAnsi="宋体" w:eastAsia="宋体" w:cs="Times New Roman"/>
                <w:color w:val="auto"/>
                <w:sz w:val="24"/>
                <w:szCs w:val="24"/>
                <w:highlight w:val="none"/>
              </w:rPr>
            </w:pPr>
          </w:p>
        </w:tc>
        <w:tc>
          <w:tcPr>
            <w:tcW w:w="1173" w:type="dxa"/>
          </w:tcPr>
          <w:p w14:paraId="15095DF5">
            <w:pPr>
              <w:jc w:val="center"/>
              <w:rPr>
                <w:rFonts w:ascii="宋体" w:hAnsi="宋体" w:eastAsia="宋体" w:cs="Times New Roman"/>
                <w:color w:val="auto"/>
                <w:sz w:val="24"/>
                <w:szCs w:val="24"/>
                <w:highlight w:val="none"/>
              </w:rPr>
            </w:pPr>
          </w:p>
        </w:tc>
      </w:tr>
    </w:tbl>
    <w:p w14:paraId="095AC8E2">
      <w:pP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注：1、按照基本技术要求详细填列。</w:t>
      </w:r>
    </w:p>
    <w:p w14:paraId="61501D0A">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24C85B88">
      <w:pPr>
        <w:jc w:val="center"/>
        <w:rPr>
          <w:rFonts w:ascii="黑体" w:hAnsi="Arial" w:eastAsia="黑体" w:cs="Times New Roman"/>
          <w:b/>
          <w:color w:val="auto"/>
          <w:sz w:val="36"/>
          <w:szCs w:val="21"/>
          <w:highlight w:val="none"/>
        </w:rPr>
      </w:pPr>
    </w:p>
    <w:p w14:paraId="7E183B64">
      <w:pPr>
        <w:jc w:val="center"/>
        <w:rPr>
          <w:rFonts w:ascii="黑体" w:hAnsi="Arial" w:eastAsia="黑体" w:cs="Times New Roman"/>
          <w:b/>
          <w:color w:val="auto"/>
          <w:sz w:val="36"/>
          <w:szCs w:val="21"/>
          <w:highlight w:val="none"/>
        </w:rPr>
      </w:pPr>
      <w:bookmarkStart w:id="175" w:name="_Hlt26955054"/>
      <w:bookmarkEnd w:id="175"/>
    </w:p>
    <w:p w14:paraId="0E339F7C">
      <w:pPr>
        <w:jc w:val="center"/>
        <w:rPr>
          <w:rFonts w:ascii="黑体" w:hAnsi="Arial" w:eastAsia="黑体" w:cs="Times New Roman"/>
          <w:b/>
          <w:color w:val="auto"/>
          <w:sz w:val="36"/>
          <w:szCs w:val="21"/>
          <w:highlight w:val="none"/>
        </w:rPr>
      </w:pPr>
    </w:p>
    <w:p w14:paraId="3A60EDEC">
      <w:pPr>
        <w:jc w:val="center"/>
        <w:rPr>
          <w:rFonts w:ascii="黑体" w:hAnsi="Arial" w:eastAsia="黑体" w:cs="Times New Roman"/>
          <w:b/>
          <w:color w:val="auto"/>
          <w:sz w:val="36"/>
          <w:szCs w:val="21"/>
          <w:highlight w:val="none"/>
        </w:rPr>
      </w:pPr>
    </w:p>
    <w:p w14:paraId="27664C5A">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六、商务条款响应及偏离表</w:t>
      </w:r>
    </w:p>
    <w:p w14:paraId="6F8069C7">
      <w:pPr>
        <w:jc w:val="center"/>
        <w:rPr>
          <w:rFonts w:ascii="宋体" w:hAnsi="宋体" w:eastAsia="宋体" w:cs="Times New Roman"/>
          <w:b/>
          <w:color w:val="auto"/>
          <w:sz w:val="32"/>
          <w:szCs w:val="32"/>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300CC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63D85F95">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14:paraId="45A899AA">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tcPr>
          <w:p w14:paraId="0807ACBB">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14:paraId="21D78A03">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响应人的承诺或说明</w:t>
            </w:r>
          </w:p>
        </w:tc>
      </w:tr>
      <w:tr w14:paraId="0E963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3DAA5E13">
            <w:pPr>
              <w:snapToGrid w:val="0"/>
              <w:spacing w:before="156" w:beforeLines="50"/>
              <w:jc w:val="center"/>
              <w:rPr>
                <w:rFonts w:ascii="仿宋_GB2312" w:hAnsi="Times New Roman" w:eastAsia="宋体" w:cs="Times New Roman"/>
                <w:color w:val="auto"/>
                <w:sz w:val="24"/>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14:paraId="7B612B00">
            <w:pPr>
              <w:snapToGrid w:val="0"/>
              <w:spacing w:before="156" w:beforeLines="50"/>
              <w:rPr>
                <w:rFonts w:ascii="仿宋_GB2312" w:hAnsi="宋体" w:eastAsia="宋体" w:cs="Times New Roman"/>
                <w:color w:val="auto"/>
                <w:sz w:val="24"/>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14:paraId="3FAFA16C">
            <w:pPr>
              <w:snapToGrid w:val="0"/>
              <w:spacing w:before="156" w:beforeLines="50"/>
              <w:ind w:left="43"/>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36FD2C76">
            <w:pPr>
              <w:snapToGrid w:val="0"/>
              <w:spacing w:before="156" w:beforeLines="50"/>
              <w:ind w:left="43"/>
              <w:jc w:val="center"/>
              <w:rPr>
                <w:rFonts w:ascii="仿宋_GB2312" w:hAnsi="宋体" w:eastAsia="仿宋_GB2312" w:cs="Times New Roman"/>
                <w:color w:val="auto"/>
                <w:sz w:val="24"/>
                <w:szCs w:val="20"/>
                <w:highlight w:val="none"/>
              </w:rPr>
            </w:pPr>
          </w:p>
        </w:tc>
      </w:tr>
      <w:tr w14:paraId="51AAD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451304CE">
            <w:pPr>
              <w:snapToGrid w:val="0"/>
              <w:spacing w:before="156" w:beforeLines="50"/>
              <w:jc w:val="center"/>
              <w:rPr>
                <w:rFonts w:ascii="仿宋_GB2312" w:hAnsi="宋体" w:eastAsia="仿宋_GB2312"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16099E23">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785F4315">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4BD5B636">
            <w:pPr>
              <w:snapToGrid w:val="0"/>
              <w:spacing w:before="156" w:beforeLines="50"/>
              <w:jc w:val="center"/>
              <w:rPr>
                <w:rFonts w:ascii="仿宋_GB2312" w:hAnsi="宋体" w:eastAsia="仿宋_GB2312" w:cs="Times New Roman"/>
                <w:color w:val="auto"/>
                <w:sz w:val="24"/>
                <w:szCs w:val="20"/>
                <w:highlight w:val="none"/>
              </w:rPr>
            </w:pPr>
          </w:p>
        </w:tc>
      </w:tr>
      <w:tr w14:paraId="1D0AB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3CBE9C4D">
            <w:pPr>
              <w:snapToGrid w:val="0"/>
              <w:spacing w:before="156" w:beforeLines="50"/>
              <w:jc w:val="center"/>
              <w:rPr>
                <w:rFonts w:ascii="宋体" w:hAnsi="宋体" w:eastAsia="宋体"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5776CCC6">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0CB4F1A2">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4A426A8F">
            <w:pPr>
              <w:snapToGrid w:val="0"/>
              <w:spacing w:before="156" w:beforeLines="50"/>
              <w:jc w:val="center"/>
              <w:rPr>
                <w:rFonts w:ascii="仿宋_GB2312" w:hAnsi="宋体" w:eastAsia="仿宋_GB2312" w:cs="Times New Roman"/>
                <w:color w:val="auto"/>
                <w:sz w:val="24"/>
                <w:szCs w:val="20"/>
                <w:highlight w:val="none"/>
              </w:rPr>
            </w:pPr>
          </w:p>
        </w:tc>
      </w:tr>
    </w:tbl>
    <w:p w14:paraId="16DF7EC7">
      <w:pPr>
        <w:rPr>
          <w:rFonts w:ascii="宋体" w:hAnsi="宋体" w:eastAsia="宋体" w:cs="Times New Roman"/>
          <w:color w:val="auto"/>
          <w:sz w:val="24"/>
          <w:szCs w:val="24"/>
          <w:highlight w:val="none"/>
        </w:rPr>
      </w:pPr>
      <w:bookmarkStart w:id="176" w:name="_Hlt26782999"/>
      <w:bookmarkEnd w:id="176"/>
      <w:bookmarkStart w:id="177" w:name="_Hlt26580838"/>
      <w:bookmarkEnd w:id="177"/>
      <w:bookmarkStart w:id="178" w:name="_Hlt26955056"/>
      <w:bookmarkEnd w:id="178"/>
      <w:bookmarkStart w:id="179" w:name="_Hlt26671372"/>
      <w:bookmarkEnd w:id="179"/>
      <w:bookmarkStart w:id="180" w:name="_Hlt26609391"/>
      <w:bookmarkEnd w:id="180"/>
      <w:bookmarkStart w:id="181" w:name="_Hlt26955064"/>
      <w:bookmarkEnd w:id="181"/>
      <w:bookmarkStart w:id="182" w:name="_Hlt24879081"/>
      <w:bookmarkEnd w:id="182"/>
      <w:bookmarkStart w:id="183" w:name="_Hlt26671343"/>
      <w:bookmarkEnd w:id="183"/>
      <w:bookmarkStart w:id="184" w:name="_Toc462564146"/>
      <w:r>
        <w:rPr>
          <w:rFonts w:hint="eastAsia" w:ascii="宋体" w:hAnsi="宋体" w:eastAsia="宋体" w:cs="Times New Roman"/>
          <w:color w:val="auto"/>
          <w:sz w:val="24"/>
          <w:szCs w:val="24"/>
          <w:highlight w:val="none"/>
        </w:rPr>
        <w:t>注：1、按照基本商务要求详细填列。</w:t>
      </w:r>
    </w:p>
    <w:p w14:paraId="39A1826D">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172D29DF">
      <w:pPr>
        <w:rPr>
          <w:rFonts w:ascii="宋体" w:hAnsi="宋体" w:eastAsia="宋体" w:cs="Times New Roman"/>
          <w:color w:val="auto"/>
          <w:sz w:val="24"/>
          <w:szCs w:val="21"/>
          <w:highlight w:val="none"/>
        </w:rPr>
      </w:pPr>
    </w:p>
    <w:p w14:paraId="6E4312A9">
      <w:pPr>
        <w:rPr>
          <w:rFonts w:ascii="宋体" w:hAnsi="宋体" w:eastAsia="宋体" w:cs="Times New Roman"/>
          <w:color w:val="auto"/>
          <w:sz w:val="24"/>
          <w:szCs w:val="21"/>
          <w:highlight w:val="none"/>
        </w:rPr>
      </w:pPr>
    </w:p>
    <w:bookmarkEnd w:id="184"/>
    <w:p w14:paraId="5007005C">
      <w:pPr>
        <w:jc w:val="center"/>
        <w:rPr>
          <w:rFonts w:ascii="宋体" w:hAnsi="宋体" w:eastAsia="宋体" w:cs="Times New Roman"/>
          <w:b/>
          <w:color w:val="auto"/>
          <w:sz w:val="32"/>
          <w:szCs w:val="32"/>
          <w:highlight w:val="none"/>
        </w:rPr>
      </w:pPr>
      <w:bookmarkStart w:id="185" w:name="_格式2__法定代表人授权书"/>
      <w:bookmarkEnd w:id="185"/>
      <w:bookmarkStart w:id="186" w:name="_Toc22356580"/>
      <w:bookmarkStart w:id="187" w:name="_Toc23828478"/>
      <w:bookmarkStart w:id="188" w:name="_Toc460901585"/>
      <w:bookmarkStart w:id="189" w:name="_Toc49090577"/>
      <w:bookmarkStart w:id="190" w:name="_Toc26554095"/>
      <w:bookmarkStart w:id="191" w:name="_Toc513029276"/>
      <w:bookmarkStart w:id="192" w:name="_Toc120614283"/>
    </w:p>
    <w:p w14:paraId="69875A65">
      <w:pPr>
        <w:jc w:val="center"/>
        <w:rPr>
          <w:rFonts w:ascii="宋体" w:hAnsi="宋体" w:eastAsia="宋体" w:cs="Times New Roman"/>
          <w:b/>
          <w:color w:val="auto"/>
          <w:sz w:val="32"/>
          <w:szCs w:val="32"/>
          <w:highlight w:val="none"/>
        </w:rPr>
      </w:pPr>
    </w:p>
    <w:p w14:paraId="13AC4CD1">
      <w:pPr>
        <w:jc w:val="center"/>
        <w:rPr>
          <w:rFonts w:ascii="宋体" w:hAnsi="宋体" w:eastAsia="宋体" w:cs="Times New Roman"/>
          <w:b/>
          <w:color w:val="auto"/>
          <w:sz w:val="32"/>
          <w:szCs w:val="32"/>
          <w:highlight w:val="none"/>
        </w:rPr>
      </w:pPr>
    </w:p>
    <w:p w14:paraId="6AD3977F">
      <w:pPr>
        <w:jc w:val="center"/>
        <w:rPr>
          <w:rFonts w:ascii="宋体" w:hAnsi="宋体" w:eastAsia="宋体" w:cs="Times New Roman"/>
          <w:b/>
          <w:color w:val="auto"/>
          <w:sz w:val="32"/>
          <w:szCs w:val="32"/>
          <w:highlight w:val="none"/>
        </w:rPr>
      </w:pPr>
    </w:p>
    <w:p w14:paraId="4713E315">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w:t>
      </w:r>
      <w:bookmarkEnd w:id="186"/>
      <w:bookmarkEnd w:id="187"/>
      <w:bookmarkEnd w:id="188"/>
      <w:bookmarkEnd w:id="189"/>
      <w:bookmarkEnd w:id="190"/>
      <w:bookmarkEnd w:id="191"/>
      <w:bookmarkEnd w:id="192"/>
      <w:r>
        <w:rPr>
          <w:rFonts w:hint="eastAsia" w:ascii="宋体" w:hAnsi="宋体" w:eastAsia="宋体" w:cs="Times New Roman"/>
          <w:b/>
          <w:color w:val="auto"/>
          <w:sz w:val="32"/>
          <w:szCs w:val="32"/>
          <w:highlight w:val="none"/>
        </w:rPr>
        <w:t>报价一览表</w:t>
      </w:r>
    </w:p>
    <w:p w14:paraId="1A1F2F9F">
      <w:pPr>
        <w:jc w:val="center"/>
        <w:rPr>
          <w:rFonts w:ascii="宋体" w:hAnsi="宋体" w:eastAsia="宋体" w:cs="Times New Roman"/>
          <w:b/>
          <w:color w:val="auto"/>
          <w:sz w:val="32"/>
          <w:szCs w:val="32"/>
          <w:highlight w:val="none"/>
        </w:rPr>
      </w:pPr>
    </w:p>
    <w:p w14:paraId="5E569A35">
      <w:pPr>
        <w:spacing w:line="360" w:lineRule="auto"/>
        <w:ind w:firstLine="482"/>
        <w:rPr>
          <w:rFonts w:ascii="宋体" w:hAnsi="宋体" w:eastAsia="宋体" w:cs="Times New Roman"/>
          <w:color w:val="auto"/>
          <w:sz w:val="24"/>
          <w:szCs w:val="24"/>
          <w:highlight w:val="none"/>
        </w:rPr>
      </w:pPr>
    </w:p>
    <w:tbl>
      <w:tblPr>
        <w:tblStyle w:val="60"/>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3443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328D48FA">
            <w:pPr>
              <w:spacing w:line="360" w:lineRule="auto"/>
              <w:jc w:val="center"/>
              <w:rPr>
                <w:rFonts w:ascii="Times New Roman"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项目名称</w:t>
            </w:r>
          </w:p>
        </w:tc>
        <w:tc>
          <w:tcPr>
            <w:tcW w:w="6405" w:type="dxa"/>
            <w:vAlign w:val="center"/>
          </w:tcPr>
          <w:p w14:paraId="2C5B73B7">
            <w:pPr>
              <w:jc w:val="center"/>
              <w:rPr>
                <w:rFonts w:ascii="宋体" w:hAnsi="宋体" w:eastAsia="宋体" w:cs="Times New Roman"/>
                <w:b/>
                <w:color w:val="auto"/>
                <w:sz w:val="24"/>
                <w:szCs w:val="24"/>
                <w:highlight w:val="none"/>
              </w:rPr>
            </w:pPr>
          </w:p>
        </w:tc>
      </w:tr>
      <w:tr w14:paraId="324F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6208C5CC">
            <w:pPr>
              <w:jc w:val="center"/>
              <w:rPr>
                <w:b/>
                <w:color w:val="auto"/>
                <w:highlight w:val="none"/>
              </w:rPr>
            </w:pPr>
            <w:r>
              <w:rPr>
                <w:rFonts w:hint="eastAsia" w:ascii="宋体" w:hAnsi="宋体" w:eastAsia="宋体" w:cs="Times New Roman"/>
                <w:b/>
                <w:color w:val="auto"/>
                <w:sz w:val="24"/>
                <w:szCs w:val="24"/>
                <w:highlight w:val="none"/>
              </w:rPr>
              <w:t>项目编号</w:t>
            </w:r>
          </w:p>
        </w:tc>
        <w:tc>
          <w:tcPr>
            <w:tcW w:w="6405" w:type="dxa"/>
            <w:vAlign w:val="center"/>
          </w:tcPr>
          <w:p w14:paraId="62677010">
            <w:pPr>
              <w:jc w:val="center"/>
              <w:rPr>
                <w:rFonts w:ascii="宋体" w:hAnsi="宋体" w:eastAsia="宋体" w:cs="宋体"/>
                <w:b/>
                <w:color w:val="auto"/>
                <w:sz w:val="24"/>
                <w:szCs w:val="24"/>
                <w:highlight w:val="none"/>
              </w:rPr>
            </w:pPr>
          </w:p>
        </w:tc>
      </w:tr>
      <w:tr w14:paraId="465A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00C518BC">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院外门诊污水处理</w:t>
            </w:r>
          </w:p>
          <w:p w14:paraId="228737EC">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设备加药</w:t>
            </w:r>
          </w:p>
        </w:tc>
        <w:tc>
          <w:tcPr>
            <w:tcW w:w="6405" w:type="dxa"/>
            <w:vAlign w:val="center"/>
          </w:tcPr>
          <w:p w14:paraId="5059C651">
            <w:pPr>
              <w:ind w:firstLine="241" w:firstLineChars="100"/>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小写：                             （元/年）</w:t>
            </w:r>
          </w:p>
        </w:tc>
      </w:tr>
      <w:tr w14:paraId="290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22D9813E">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院外门诊污水处理</w:t>
            </w:r>
          </w:p>
          <w:p w14:paraId="78EB3CF1">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设备维保</w:t>
            </w:r>
          </w:p>
        </w:tc>
        <w:tc>
          <w:tcPr>
            <w:tcW w:w="6405" w:type="dxa"/>
            <w:vAlign w:val="center"/>
          </w:tcPr>
          <w:p w14:paraId="6EA6B1DD">
            <w:pPr>
              <w:ind w:firstLine="241" w:firstLineChars="1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小写：                             （元/年）</w:t>
            </w:r>
          </w:p>
        </w:tc>
      </w:tr>
      <w:tr w14:paraId="4F7B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14:paraId="191EB2DA">
            <w:pPr>
              <w:adjustRightInd w:val="0"/>
              <w:snapToGrid w:val="0"/>
              <w:spacing w:line="30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项目合计（元）</w:t>
            </w:r>
          </w:p>
        </w:tc>
        <w:tc>
          <w:tcPr>
            <w:tcW w:w="6405" w:type="dxa"/>
            <w:vAlign w:val="center"/>
          </w:tcPr>
          <w:p w14:paraId="367C30DF">
            <w:pPr>
              <w:adjustRightInd w:val="0"/>
              <w:snapToGrid w:val="0"/>
              <w:spacing w:line="300" w:lineRule="auto"/>
              <w:ind w:firstLine="241" w:firstLineChars="1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                             （元/年）</w:t>
            </w:r>
          </w:p>
          <w:p w14:paraId="0E6E77A9">
            <w:pPr>
              <w:adjustRightInd w:val="0"/>
              <w:spacing w:line="500" w:lineRule="exact"/>
              <w:ind w:firstLine="241" w:firstLineChars="100"/>
              <w:textAlignment w:val="baseline"/>
              <w:rPr>
                <w:rFonts w:ascii="宋体" w:hAnsi="宋体" w:eastAsia="宋体" w:cs="Times New Roman"/>
                <w:b/>
                <w:color w:val="auto"/>
                <w:sz w:val="24"/>
                <w:szCs w:val="21"/>
                <w:highlight w:val="none"/>
              </w:rPr>
            </w:pPr>
            <w:r>
              <w:rPr>
                <w:rFonts w:hint="eastAsia" w:ascii="宋体" w:hAnsi="宋体" w:eastAsia="宋体" w:cs="宋体"/>
                <w:b/>
                <w:color w:val="auto"/>
                <w:kern w:val="0"/>
                <w:sz w:val="24"/>
                <w:szCs w:val="24"/>
                <w:highlight w:val="none"/>
              </w:rPr>
              <w:t>小写：                             （元/年）</w:t>
            </w:r>
          </w:p>
        </w:tc>
      </w:tr>
    </w:tbl>
    <w:p w14:paraId="3E5FC856">
      <w:pPr>
        <w:rPr>
          <w:rFonts w:ascii="宋体" w:hAnsi="宋体" w:eastAsia="宋体" w:cs="Times New Roman"/>
          <w:b/>
          <w:color w:val="auto"/>
          <w:sz w:val="24"/>
          <w:szCs w:val="24"/>
          <w:highlight w:val="none"/>
        </w:rPr>
      </w:pPr>
    </w:p>
    <w:bookmarkEnd w:id="171"/>
    <w:p w14:paraId="2BCBD3D9">
      <w:pPr>
        <w:spacing w:line="360" w:lineRule="auto"/>
        <w:ind w:firstLine="482"/>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响应人全称（加盖公章）：</w:t>
      </w:r>
    </w:p>
    <w:p w14:paraId="70CA9366">
      <w:pPr>
        <w:jc w:val="center"/>
        <w:rPr>
          <w:b/>
          <w:color w:val="auto"/>
          <w:sz w:val="24"/>
          <w:szCs w:val="24"/>
          <w:highlight w:val="none"/>
        </w:rPr>
      </w:pPr>
    </w:p>
    <w:p w14:paraId="57A25D2A">
      <w:pPr>
        <w:jc w:val="right"/>
        <w:rPr>
          <w:b/>
          <w:color w:val="auto"/>
          <w:sz w:val="24"/>
          <w:szCs w:val="24"/>
          <w:highlight w:val="none"/>
        </w:rPr>
      </w:pPr>
    </w:p>
    <w:p w14:paraId="23416DFA">
      <w:pPr>
        <w:jc w:val="right"/>
        <w:rPr>
          <w:b/>
          <w:color w:val="auto"/>
          <w:sz w:val="24"/>
          <w:szCs w:val="24"/>
          <w:highlight w:val="none"/>
        </w:rPr>
      </w:pPr>
      <w:r>
        <w:rPr>
          <w:rFonts w:hint="eastAsia"/>
          <w:b/>
          <w:color w:val="auto"/>
          <w:sz w:val="24"/>
          <w:szCs w:val="24"/>
          <w:highlight w:val="none"/>
        </w:rPr>
        <w:t>日期：   年     月      日</w:t>
      </w:r>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C62E">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１６</w:t>
    </w:r>
    <w:r>
      <w:rPr>
        <w:rFonts w:ascii="宋体" w:hAnsi="宋体"/>
      </w:rPr>
      <w:fldChar w:fldCharType="end"/>
    </w:r>
  </w:p>
  <w:p w14:paraId="1523B0C1">
    <w:pPr>
      <w:pStyle w:val="38"/>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4283">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7A7C6B2B">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EDF6">
    <w:pPr>
      <w:pStyle w:val="38"/>
      <w:jc w:val="center"/>
    </w:pPr>
    <w:r>
      <w:fldChar w:fldCharType="begin"/>
    </w:r>
    <w:r>
      <w:instrText xml:space="preserve"> PAGE   \* MERGEFORMAT </w:instrText>
    </w:r>
    <w:r>
      <w:fldChar w:fldCharType="separate"/>
    </w:r>
    <w:r>
      <w:rPr>
        <w:rFonts w:hint="eastAsia"/>
        <w:lang w:val="zh-CN"/>
      </w:rPr>
      <w:t>１１</w:t>
    </w:r>
    <w:r>
      <w:fldChar w:fldCharType="end"/>
    </w:r>
  </w:p>
  <w:p w14:paraId="630F1F50">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5FA1">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27</w:t>
    </w:r>
    <w:r>
      <w:rPr>
        <w:rFonts w:ascii="宋体" w:hAnsi="宋体"/>
      </w:rPr>
      <w:fldChar w:fldCharType="end"/>
    </w:r>
  </w:p>
  <w:p w14:paraId="2B6D9200">
    <w:pPr>
      <w:pStyle w:val="38"/>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7B4D">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71E614E0">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EFA8">
    <w:pPr>
      <w:pStyle w:val="38"/>
      <w:jc w:val="center"/>
    </w:pPr>
    <w:r>
      <w:fldChar w:fldCharType="begin"/>
    </w:r>
    <w:r>
      <w:instrText xml:space="preserve"> PAGE   \* MERGEFORMAT </w:instrText>
    </w:r>
    <w:r>
      <w:fldChar w:fldCharType="separate"/>
    </w:r>
    <w:r>
      <w:rPr>
        <w:rFonts w:hint="eastAsia"/>
        <w:lang w:val="zh-CN"/>
      </w:rPr>
      <w:t>３３</w:t>
    </w:r>
    <w:r>
      <w:fldChar w:fldCharType="end"/>
    </w:r>
  </w:p>
  <w:p w14:paraId="13D94FE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7FA4">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606B">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C7E0EE5"/>
    <w:multiLevelType w:val="multilevel"/>
    <w:tmpl w:val="5C7E0EE5"/>
    <w:lvl w:ilvl="0" w:tentative="0">
      <w:start w:val="1"/>
      <w:numFmt w:val="chineseCountingThousand"/>
      <w:pStyle w:val="94"/>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UyMGIwZWM2Njc5OTExZjFhNDkzN2MyYzk3NjkifQ=="/>
    <w:docVar w:name="KSO_WPS_MARK_KEY" w:val="aa3c2303-f39d-4562-a15e-9e7fda86fa1c"/>
  </w:docVars>
  <w:rsids>
    <w:rsidRoot w:val="004413F4"/>
    <w:rsid w:val="0000279A"/>
    <w:rsid w:val="00004E50"/>
    <w:rsid w:val="000102D4"/>
    <w:rsid w:val="0001365B"/>
    <w:rsid w:val="000204CF"/>
    <w:rsid w:val="0002538A"/>
    <w:rsid w:val="00025685"/>
    <w:rsid w:val="000272E3"/>
    <w:rsid w:val="00027BFB"/>
    <w:rsid w:val="00040335"/>
    <w:rsid w:val="00054C1A"/>
    <w:rsid w:val="00060840"/>
    <w:rsid w:val="00061569"/>
    <w:rsid w:val="0006327F"/>
    <w:rsid w:val="00064C69"/>
    <w:rsid w:val="0006748A"/>
    <w:rsid w:val="000675A9"/>
    <w:rsid w:val="00087121"/>
    <w:rsid w:val="00087B48"/>
    <w:rsid w:val="000A17EA"/>
    <w:rsid w:val="000C2541"/>
    <w:rsid w:val="000C348C"/>
    <w:rsid w:val="000C4A72"/>
    <w:rsid w:val="000D3F67"/>
    <w:rsid w:val="000D701B"/>
    <w:rsid w:val="000D708A"/>
    <w:rsid w:val="000E5F1A"/>
    <w:rsid w:val="000F0ADE"/>
    <w:rsid w:val="000F3142"/>
    <w:rsid w:val="001004A0"/>
    <w:rsid w:val="00101419"/>
    <w:rsid w:val="001023D9"/>
    <w:rsid w:val="00110C4E"/>
    <w:rsid w:val="001169C1"/>
    <w:rsid w:val="001206AB"/>
    <w:rsid w:val="00122043"/>
    <w:rsid w:val="00125EC3"/>
    <w:rsid w:val="00127D79"/>
    <w:rsid w:val="0013086C"/>
    <w:rsid w:val="0013317D"/>
    <w:rsid w:val="00140756"/>
    <w:rsid w:val="00140E65"/>
    <w:rsid w:val="001437E2"/>
    <w:rsid w:val="00147A9D"/>
    <w:rsid w:val="0015443D"/>
    <w:rsid w:val="00157291"/>
    <w:rsid w:val="00180C90"/>
    <w:rsid w:val="001836C9"/>
    <w:rsid w:val="001842DD"/>
    <w:rsid w:val="00187541"/>
    <w:rsid w:val="0019454B"/>
    <w:rsid w:val="0019681E"/>
    <w:rsid w:val="001B3506"/>
    <w:rsid w:val="001B5893"/>
    <w:rsid w:val="001B66CB"/>
    <w:rsid w:val="001B78C5"/>
    <w:rsid w:val="001C46A8"/>
    <w:rsid w:val="001D6077"/>
    <w:rsid w:val="001E0785"/>
    <w:rsid w:val="001E1297"/>
    <w:rsid w:val="001E2A80"/>
    <w:rsid w:val="00204911"/>
    <w:rsid w:val="002075C7"/>
    <w:rsid w:val="002175E9"/>
    <w:rsid w:val="002207D1"/>
    <w:rsid w:val="00221476"/>
    <w:rsid w:val="00225DFD"/>
    <w:rsid w:val="00230014"/>
    <w:rsid w:val="002426FE"/>
    <w:rsid w:val="0025373F"/>
    <w:rsid w:val="002540B4"/>
    <w:rsid w:val="0025445D"/>
    <w:rsid w:val="002617F1"/>
    <w:rsid w:val="0026748E"/>
    <w:rsid w:val="00267C15"/>
    <w:rsid w:val="00284DE8"/>
    <w:rsid w:val="00291B45"/>
    <w:rsid w:val="002970C1"/>
    <w:rsid w:val="002972C0"/>
    <w:rsid w:val="002A0E0B"/>
    <w:rsid w:val="002A3765"/>
    <w:rsid w:val="002A5738"/>
    <w:rsid w:val="002B14D1"/>
    <w:rsid w:val="002B23F8"/>
    <w:rsid w:val="002B353F"/>
    <w:rsid w:val="002B389D"/>
    <w:rsid w:val="002B53CA"/>
    <w:rsid w:val="002B5E9F"/>
    <w:rsid w:val="002C7664"/>
    <w:rsid w:val="002D170F"/>
    <w:rsid w:val="002D7870"/>
    <w:rsid w:val="002E05D2"/>
    <w:rsid w:val="002E498A"/>
    <w:rsid w:val="002F2B4D"/>
    <w:rsid w:val="002F4E87"/>
    <w:rsid w:val="002F7337"/>
    <w:rsid w:val="003028AF"/>
    <w:rsid w:val="00304B54"/>
    <w:rsid w:val="00307C76"/>
    <w:rsid w:val="00310A11"/>
    <w:rsid w:val="003157DC"/>
    <w:rsid w:val="0032480D"/>
    <w:rsid w:val="00325829"/>
    <w:rsid w:val="00325B0B"/>
    <w:rsid w:val="0033523E"/>
    <w:rsid w:val="0033759B"/>
    <w:rsid w:val="00340C7D"/>
    <w:rsid w:val="00343E08"/>
    <w:rsid w:val="00353DFD"/>
    <w:rsid w:val="00365057"/>
    <w:rsid w:val="00365E17"/>
    <w:rsid w:val="00374758"/>
    <w:rsid w:val="00374FED"/>
    <w:rsid w:val="00375832"/>
    <w:rsid w:val="00376C40"/>
    <w:rsid w:val="00383C57"/>
    <w:rsid w:val="0038568D"/>
    <w:rsid w:val="00392C40"/>
    <w:rsid w:val="003A02DC"/>
    <w:rsid w:val="003B1195"/>
    <w:rsid w:val="003B56A0"/>
    <w:rsid w:val="003C1B80"/>
    <w:rsid w:val="003C3A4D"/>
    <w:rsid w:val="003C4FE9"/>
    <w:rsid w:val="003C7412"/>
    <w:rsid w:val="003D02FE"/>
    <w:rsid w:val="003D2341"/>
    <w:rsid w:val="003D4188"/>
    <w:rsid w:val="003E4320"/>
    <w:rsid w:val="003F34D2"/>
    <w:rsid w:val="003F6326"/>
    <w:rsid w:val="00410233"/>
    <w:rsid w:val="0042773B"/>
    <w:rsid w:val="00435EEB"/>
    <w:rsid w:val="00440308"/>
    <w:rsid w:val="004413F4"/>
    <w:rsid w:val="004564CE"/>
    <w:rsid w:val="004642C5"/>
    <w:rsid w:val="004644FC"/>
    <w:rsid w:val="0047260C"/>
    <w:rsid w:val="00483F36"/>
    <w:rsid w:val="00484407"/>
    <w:rsid w:val="00490305"/>
    <w:rsid w:val="00490DC1"/>
    <w:rsid w:val="00491B3A"/>
    <w:rsid w:val="004B073C"/>
    <w:rsid w:val="004B07BD"/>
    <w:rsid w:val="004C00E8"/>
    <w:rsid w:val="004C2ABA"/>
    <w:rsid w:val="004C4F9D"/>
    <w:rsid w:val="004D4895"/>
    <w:rsid w:val="004D4B97"/>
    <w:rsid w:val="004D5901"/>
    <w:rsid w:val="004D5FD9"/>
    <w:rsid w:val="004E33E3"/>
    <w:rsid w:val="004E3541"/>
    <w:rsid w:val="004F5183"/>
    <w:rsid w:val="00503AFF"/>
    <w:rsid w:val="00506BA9"/>
    <w:rsid w:val="00511EDF"/>
    <w:rsid w:val="00513FA0"/>
    <w:rsid w:val="00515767"/>
    <w:rsid w:val="00516329"/>
    <w:rsid w:val="005237A2"/>
    <w:rsid w:val="00523D67"/>
    <w:rsid w:val="00530292"/>
    <w:rsid w:val="005324C5"/>
    <w:rsid w:val="00541BE6"/>
    <w:rsid w:val="005505BF"/>
    <w:rsid w:val="00550B6F"/>
    <w:rsid w:val="00551E27"/>
    <w:rsid w:val="00552D1E"/>
    <w:rsid w:val="005547B1"/>
    <w:rsid w:val="00556BE0"/>
    <w:rsid w:val="00557FBC"/>
    <w:rsid w:val="00560D33"/>
    <w:rsid w:val="00561394"/>
    <w:rsid w:val="00563AE7"/>
    <w:rsid w:val="00574208"/>
    <w:rsid w:val="005742BE"/>
    <w:rsid w:val="0057449E"/>
    <w:rsid w:val="0057747D"/>
    <w:rsid w:val="00584BB2"/>
    <w:rsid w:val="00586E43"/>
    <w:rsid w:val="00587A1C"/>
    <w:rsid w:val="00587EDD"/>
    <w:rsid w:val="00595159"/>
    <w:rsid w:val="005A2BDC"/>
    <w:rsid w:val="005A6A66"/>
    <w:rsid w:val="005B0ADF"/>
    <w:rsid w:val="005B2B7B"/>
    <w:rsid w:val="005C28AA"/>
    <w:rsid w:val="005C48D6"/>
    <w:rsid w:val="005C599C"/>
    <w:rsid w:val="005D07FB"/>
    <w:rsid w:val="005D1665"/>
    <w:rsid w:val="005E5F8C"/>
    <w:rsid w:val="005F233E"/>
    <w:rsid w:val="005F26D8"/>
    <w:rsid w:val="005F54D3"/>
    <w:rsid w:val="005F6022"/>
    <w:rsid w:val="00601AFD"/>
    <w:rsid w:val="006065FE"/>
    <w:rsid w:val="006105D9"/>
    <w:rsid w:val="00612D86"/>
    <w:rsid w:val="00614F9C"/>
    <w:rsid w:val="00622689"/>
    <w:rsid w:val="00630794"/>
    <w:rsid w:val="00631266"/>
    <w:rsid w:val="00632BDB"/>
    <w:rsid w:val="00641A0C"/>
    <w:rsid w:val="00646221"/>
    <w:rsid w:val="00660FD0"/>
    <w:rsid w:val="00664E5E"/>
    <w:rsid w:val="006654D1"/>
    <w:rsid w:val="00665628"/>
    <w:rsid w:val="006665FC"/>
    <w:rsid w:val="00666D46"/>
    <w:rsid w:val="006721D5"/>
    <w:rsid w:val="006727CD"/>
    <w:rsid w:val="006747A4"/>
    <w:rsid w:val="00675EB8"/>
    <w:rsid w:val="00681EBB"/>
    <w:rsid w:val="00685733"/>
    <w:rsid w:val="00690E17"/>
    <w:rsid w:val="0069678D"/>
    <w:rsid w:val="006A25AE"/>
    <w:rsid w:val="006A5079"/>
    <w:rsid w:val="006A63BF"/>
    <w:rsid w:val="006B16DF"/>
    <w:rsid w:val="006C0442"/>
    <w:rsid w:val="006C04A5"/>
    <w:rsid w:val="006C686C"/>
    <w:rsid w:val="006D497B"/>
    <w:rsid w:val="006D6E98"/>
    <w:rsid w:val="006E217C"/>
    <w:rsid w:val="006E585D"/>
    <w:rsid w:val="006F1A52"/>
    <w:rsid w:val="006F1B43"/>
    <w:rsid w:val="006F2B82"/>
    <w:rsid w:val="006F2F35"/>
    <w:rsid w:val="006F6FED"/>
    <w:rsid w:val="00700C91"/>
    <w:rsid w:val="00705220"/>
    <w:rsid w:val="00705D58"/>
    <w:rsid w:val="007150DA"/>
    <w:rsid w:val="0072641E"/>
    <w:rsid w:val="00732339"/>
    <w:rsid w:val="0073549C"/>
    <w:rsid w:val="0074162D"/>
    <w:rsid w:val="00744052"/>
    <w:rsid w:val="00745266"/>
    <w:rsid w:val="00750F83"/>
    <w:rsid w:val="00752754"/>
    <w:rsid w:val="007607F8"/>
    <w:rsid w:val="00765E07"/>
    <w:rsid w:val="007707AB"/>
    <w:rsid w:val="00777749"/>
    <w:rsid w:val="00777CDA"/>
    <w:rsid w:val="00782A3B"/>
    <w:rsid w:val="0078716D"/>
    <w:rsid w:val="00790FFC"/>
    <w:rsid w:val="0079109E"/>
    <w:rsid w:val="00794CD9"/>
    <w:rsid w:val="007B4E61"/>
    <w:rsid w:val="007B644B"/>
    <w:rsid w:val="007C10C0"/>
    <w:rsid w:val="007C3904"/>
    <w:rsid w:val="007D6D90"/>
    <w:rsid w:val="007D7FBB"/>
    <w:rsid w:val="007E44EC"/>
    <w:rsid w:val="007E5071"/>
    <w:rsid w:val="007F0633"/>
    <w:rsid w:val="007F7CE7"/>
    <w:rsid w:val="00820546"/>
    <w:rsid w:val="00824071"/>
    <w:rsid w:val="008335EF"/>
    <w:rsid w:val="00835864"/>
    <w:rsid w:val="008361DD"/>
    <w:rsid w:val="00836216"/>
    <w:rsid w:val="00836AF0"/>
    <w:rsid w:val="008475D9"/>
    <w:rsid w:val="008502CB"/>
    <w:rsid w:val="008512F7"/>
    <w:rsid w:val="00856D43"/>
    <w:rsid w:val="00860851"/>
    <w:rsid w:val="00862494"/>
    <w:rsid w:val="00862AB7"/>
    <w:rsid w:val="00866D75"/>
    <w:rsid w:val="0086701D"/>
    <w:rsid w:val="00874029"/>
    <w:rsid w:val="0087571B"/>
    <w:rsid w:val="00875855"/>
    <w:rsid w:val="00885EC0"/>
    <w:rsid w:val="00887876"/>
    <w:rsid w:val="00890260"/>
    <w:rsid w:val="008A3CB4"/>
    <w:rsid w:val="008A58D6"/>
    <w:rsid w:val="008B3BB4"/>
    <w:rsid w:val="008B7DBF"/>
    <w:rsid w:val="008C5B1F"/>
    <w:rsid w:val="008D3886"/>
    <w:rsid w:val="008D4C65"/>
    <w:rsid w:val="008E0553"/>
    <w:rsid w:val="008E3B6D"/>
    <w:rsid w:val="008E5195"/>
    <w:rsid w:val="008E57A3"/>
    <w:rsid w:val="008E6D83"/>
    <w:rsid w:val="008F2761"/>
    <w:rsid w:val="008F6AE5"/>
    <w:rsid w:val="00902BC6"/>
    <w:rsid w:val="00906A68"/>
    <w:rsid w:val="009111EB"/>
    <w:rsid w:val="009139FD"/>
    <w:rsid w:val="009228FB"/>
    <w:rsid w:val="009261E4"/>
    <w:rsid w:val="00926846"/>
    <w:rsid w:val="00932D2C"/>
    <w:rsid w:val="00943139"/>
    <w:rsid w:val="00943C7C"/>
    <w:rsid w:val="0094401A"/>
    <w:rsid w:val="00951145"/>
    <w:rsid w:val="0095123C"/>
    <w:rsid w:val="00956A15"/>
    <w:rsid w:val="00960B34"/>
    <w:rsid w:val="00960FC7"/>
    <w:rsid w:val="00964D73"/>
    <w:rsid w:val="00965193"/>
    <w:rsid w:val="0097129E"/>
    <w:rsid w:val="009723CB"/>
    <w:rsid w:val="00977427"/>
    <w:rsid w:val="00980CF9"/>
    <w:rsid w:val="009874A6"/>
    <w:rsid w:val="009A0094"/>
    <w:rsid w:val="009B1E51"/>
    <w:rsid w:val="009B1F17"/>
    <w:rsid w:val="009B3026"/>
    <w:rsid w:val="009C7811"/>
    <w:rsid w:val="009D5C8E"/>
    <w:rsid w:val="009E69CC"/>
    <w:rsid w:val="009F06F3"/>
    <w:rsid w:val="009F0925"/>
    <w:rsid w:val="009F1AED"/>
    <w:rsid w:val="009F3A0C"/>
    <w:rsid w:val="00A00150"/>
    <w:rsid w:val="00A0580A"/>
    <w:rsid w:val="00A05F64"/>
    <w:rsid w:val="00A132C9"/>
    <w:rsid w:val="00A13831"/>
    <w:rsid w:val="00A26DD8"/>
    <w:rsid w:val="00A32FE7"/>
    <w:rsid w:val="00A37CC4"/>
    <w:rsid w:val="00A44C9A"/>
    <w:rsid w:val="00A6221E"/>
    <w:rsid w:val="00A70585"/>
    <w:rsid w:val="00A70748"/>
    <w:rsid w:val="00A76355"/>
    <w:rsid w:val="00A7707F"/>
    <w:rsid w:val="00A805D6"/>
    <w:rsid w:val="00A80F00"/>
    <w:rsid w:val="00A82493"/>
    <w:rsid w:val="00A85240"/>
    <w:rsid w:val="00A870D0"/>
    <w:rsid w:val="00A90D66"/>
    <w:rsid w:val="00A9106E"/>
    <w:rsid w:val="00A9263C"/>
    <w:rsid w:val="00A946C6"/>
    <w:rsid w:val="00AA1EC6"/>
    <w:rsid w:val="00AA3D8A"/>
    <w:rsid w:val="00AA4D45"/>
    <w:rsid w:val="00AA5395"/>
    <w:rsid w:val="00AA6855"/>
    <w:rsid w:val="00AA6882"/>
    <w:rsid w:val="00AB059D"/>
    <w:rsid w:val="00AB0D0E"/>
    <w:rsid w:val="00AB2F44"/>
    <w:rsid w:val="00AB6016"/>
    <w:rsid w:val="00AE0B52"/>
    <w:rsid w:val="00AE0D7F"/>
    <w:rsid w:val="00AF4715"/>
    <w:rsid w:val="00AF55EE"/>
    <w:rsid w:val="00B05548"/>
    <w:rsid w:val="00B07448"/>
    <w:rsid w:val="00B07980"/>
    <w:rsid w:val="00B25494"/>
    <w:rsid w:val="00B262ED"/>
    <w:rsid w:val="00B31A19"/>
    <w:rsid w:val="00B347CE"/>
    <w:rsid w:val="00B36AC9"/>
    <w:rsid w:val="00B376ED"/>
    <w:rsid w:val="00B40356"/>
    <w:rsid w:val="00B41D64"/>
    <w:rsid w:val="00B475C7"/>
    <w:rsid w:val="00B52149"/>
    <w:rsid w:val="00B54AF1"/>
    <w:rsid w:val="00B61345"/>
    <w:rsid w:val="00B65BE6"/>
    <w:rsid w:val="00B723A1"/>
    <w:rsid w:val="00B87FF4"/>
    <w:rsid w:val="00B91D0D"/>
    <w:rsid w:val="00B92D18"/>
    <w:rsid w:val="00B93440"/>
    <w:rsid w:val="00BB0520"/>
    <w:rsid w:val="00BB2F2D"/>
    <w:rsid w:val="00BB41AE"/>
    <w:rsid w:val="00BB50F6"/>
    <w:rsid w:val="00BB74AE"/>
    <w:rsid w:val="00BC477F"/>
    <w:rsid w:val="00BC6AA2"/>
    <w:rsid w:val="00BC7C7E"/>
    <w:rsid w:val="00BE1663"/>
    <w:rsid w:val="00BE5363"/>
    <w:rsid w:val="00BE592E"/>
    <w:rsid w:val="00BF1C47"/>
    <w:rsid w:val="00BF3A53"/>
    <w:rsid w:val="00BF7B46"/>
    <w:rsid w:val="00C025CF"/>
    <w:rsid w:val="00C16D0C"/>
    <w:rsid w:val="00C31EFB"/>
    <w:rsid w:val="00C451E5"/>
    <w:rsid w:val="00C50C7D"/>
    <w:rsid w:val="00C53063"/>
    <w:rsid w:val="00C544BC"/>
    <w:rsid w:val="00C6602C"/>
    <w:rsid w:val="00C66A2A"/>
    <w:rsid w:val="00C72A37"/>
    <w:rsid w:val="00C77076"/>
    <w:rsid w:val="00C83CC7"/>
    <w:rsid w:val="00C956C8"/>
    <w:rsid w:val="00CB4F1A"/>
    <w:rsid w:val="00CB53C5"/>
    <w:rsid w:val="00CB544A"/>
    <w:rsid w:val="00CB57D7"/>
    <w:rsid w:val="00CB58F1"/>
    <w:rsid w:val="00CC005D"/>
    <w:rsid w:val="00CC0DDA"/>
    <w:rsid w:val="00CC48FA"/>
    <w:rsid w:val="00CE4728"/>
    <w:rsid w:val="00CE5B93"/>
    <w:rsid w:val="00CF0B12"/>
    <w:rsid w:val="00D014F0"/>
    <w:rsid w:val="00D03795"/>
    <w:rsid w:val="00D0490C"/>
    <w:rsid w:val="00D13383"/>
    <w:rsid w:val="00D20B00"/>
    <w:rsid w:val="00D26EE4"/>
    <w:rsid w:val="00D33CAC"/>
    <w:rsid w:val="00D37D7F"/>
    <w:rsid w:val="00D411A9"/>
    <w:rsid w:val="00D45B21"/>
    <w:rsid w:val="00D62E7F"/>
    <w:rsid w:val="00D658FA"/>
    <w:rsid w:val="00D71D76"/>
    <w:rsid w:val="00D77698"/>
    <w:rsid w:val="00D80C3C"/>
    <w:rsid w:val="00D8110C"/>
    <w:rsid w:val="00D81A5C"/>
    <w:rsid w:val="00D82930"/>
    <w:rsid w:val="00D84B25"/>
    <w:rsid w:val="00D95BAD"/>
    <w:rsid w:val="00DA1F2B"/>
    <w:rsid w:val="00DB7B05"/>
    <w:rsid w:val="00DC0307"/>
    <w:rsid w:val="00DC752C"/>
    <w:rsid w:val="00DD3507"/>
    <w:rsid w:val="00DD50E8"/>
    <w:rsid w:val="00DD669E"/>
    <w:rsid w:val="00DD6CE8"/>
    <w:rsid w:val="00DE2F9E"/>
    <w:rsid w:val="00DE641B"/>
    <w:rsid w:val="00DF6C40"/>
    <w:rsid w:val="00DF6C52"/>
    <w:rsid w:val="00E01001"/>
    <w:rsid w:val="00E024B9"/>
    <w:rsid w:val="00E02DDC"/>
    <w:rsid w:val="00E11012"/>
    <w:rsid w:val="00E17B04"/>
    <w:rsid w:val="00E27C3B"/>
    <w:rsid w:val="00E353AB"/>
    <w:rsid w:val="00E46A23"/>
    <w:rsid w:val="00E50726"/>
    <w:rsid w:val="00E56F90"/>
    <w:rsid w:val="00E609F1"/>
    <w:rsid w:val="00E60DC7"/>
    <w:rsid w:val="00E621C6"/>
    <w:rsid w:val="00E62CB1"/>
    <w:rsid w:val="00E63AAB"/>
    <w:rsid w:val="00E8039E"/>
    <w:rsid w:val="00E81ECD"/>
    <w:rsid w:val="00E821EE"/>
    <w:rsid w:val="00E84B9D"/>
    <w:rsid w:val="00E877C8"/>
    <w:rsid w:val="00E90928"/>
    <w:rsid w:val="00E936EE"/>
    <w:rsid w:val="00E9636B"/>
    <w:rsid w:val="00EA1B58"/>
    <w:rsid w:val="00EA3747"/>
    <w:rsid w:val="00EB1D97"/>
    <w:rsid w:val="00EB2EBF"/>
    <w:rsid w:val="00EB4C43"/>
    <w:rsid w:val="00EC31D1"/>
    <w:rsid w:val="00EC3446"/>
    <w:rsid w:val="00ED5851"/>
    <w:rsid w:val="00EE5D49"/>
    <w:rsid w:val="00EE69BA"/>
    <w:rsid w:val="00EF6D31"/>
    <w:rsid w:val="00F05306"/>
    <w:rsid w:val="00F12F7A"/>
    <w:rsid w:val="00F17B5D"/>
    <w:rsid w:val="00F25EA8"/>
    <w:rsid w:val="00F33C44"/>
    <w:rsid w:val="00F34404"/>
    <w:rsid w:val="00F45543"/>
    <w:rsid w:val="00F45DE8"/>
    <w:rsid w:val="00F47DAB"/>
    <w:rsid w:val="00F53B51"/>
    <w:rsid w:val="00F610E9"/>
    <w:rsid w:val="00F644C2"/>
    <w:rsid w:val="00F650E6"/>
    <w:rsid w:val="00F65F7C"/>
    <w:rsid w:val="00F82204"/>
    <w:rsid w:val="00F83EEE"/>
    <w:rsid w:val="00F91075"/>
    <w:rsid w:val="00FA03EB"/>
    <w:rsid w:val="00FB0C5F"/>
    <w:rsid w:val="00FB1ECC"/>
    <w:rsid w:val="00FB6745"/>
    <w:rsid w:val="00FB7E88"/>
    <w:rsid w:val="00FC3A20"/>
    <w:rsid w:val="00FC62D1"/>
    <w:rsid w:val="00FD2C0A"/>
    <w:rsid w:val="00FD3AF8"/>
    <w:rsid w:val="00FD56F6"/>
    <w:rsid w:val="00FD60A7"/>
    <w:rsid w:val="00FE0B26"/>
    <w:rsid w:val="00FE1D19"/>
    <w:rsid w:val="00FE7AC3"/>
    <w:rsid w:val="00FF1118"/>
    <w:rsid w:val="00FF141A"/>
    <w:rsid w:val="029C58B6"/>
    <w:rsid w:val="06225C9A"/>
    <w:rsid w:val="076255C9"/>
    <w:rsid w:val="09047D11"/>
    <w:rsid w:val="09D73085"/>
    <w:rsid w:val="0DF63CF6"/>
    <w:rsid w:val="0F5E7206"/>
    <w:rsid w:val="12484BE2"/>
    <w:rsid w:val="15A9411A"/>
    <w:rsid w:val="17733DBE"/>
    <w:rsid w:val="196C3877"/>
    <w:rsid w:val="19C257AA"/>
    <w:rsid w:val="1A555503"/>
    <w:rsid w:val="1AE45BF4"/>
    <w:rsid w:val="1E334EC9"/>
    <w:rsid w:val="1EE37BFD"/>
    <w:rsid w:val="1FBD7929"/>
    <w:rsid w:val="216A1678"/>
    <w:rsid w:val="242552B4"/>
    <w:rsid w:val="292A6EC8"/>
    <w:rsid w:val="2B6C6403"/>
    <w:rsid w:val="2CB22459"/>
    <w:rsid w:val="2E2152B6"/>
    <w:rsid w:val="2F3270ED"/>
    <w:rsid w:val="30265F59"/>
    <w:rsid w:val="313C35A5"/>
    <w:rsid w:val="35E0489F"/>
    <w:rsid w:val="36624145"/>
    <w:rsid w:val="37074CED"/>
    <w:rsid w:val="38F82D01"/>
    <w:rsid w:val="39AF3BFD"/>
    <w:rsid w:val="39CE297A"/>
    <w:rsid w:val="3A296D28"/>
    <w:rsid w:val="3B0912BD"/>
    <w:rsid w:val="3C872935"/>
    <w:rsid w:val="3D346110"/>
    <w:rsid w:val="3D831E12"/>
    <w:rsid w:val="405C54D2"/>
    <w:rsid w:val="431B5DA8"/>
    <w:rsid w:val="445E2050"/>
    <w:rsid w:val="489751D3"/>
    <w:rsid w:val="49D767A1"/>
    <w:rsid w:val="4C754022"/>
    <w:rsid w:val="4D510618"/>
    <w:rsid w:val="4E1D6841"/>
    <w:rsid w:val="4E8C23A4"/>
    <w:rsid w:val="508458B2"/>
    <w:rsid w:val="53590226"/>
    <w:rsid w:val="54021F1F"/>
    <w:rsid w:val="57D6474D"/>
    <w:rsid w:val="59A602FB"/>
    <w:rsid w:val="59BF7888"/>
    <w:rsid w:val="5A317807"/>
    <w:rsid w:val="5DA327CA"/>
    <w:rsid w:val="5E96388F"/>
    <w:rsid w:val="5EE134AD"/>
    <w:rsid w:val="62554356"/>
    <w:rsid w:val="628C0BB8"/>
    <w:rsid w:val="64917820"/>
    <w:rsid w:val="661A1A97"/>
    <w:rsid w:val="67265512"/>
    <w:rsid w:val="67A337D2"/>
    <w:rsid w:val="67EF0164"/>
    <w:rsid w:val="6C3D5605"/>
    <w:rsid w:val="6D963EFF"/>
    <w:rsid w:val="6F597F8A"/>
    <w:rsid w:val="705838E8"/>
    <w:rsid w:val="715D3F58"/>
    <w:rsid w:val="718F660A"/>
    <w:rsid w:val="72052816"/>
    <w:rsid w:val="720E297B"/>
    <w:rsid w:val="73A022A3"/>
    <w:rsid w:val="746B111F"/>
    <w:rsid w:val="765C1424"/>
    <w:rsid w:val="7893518E"/>
    <w:rsid w:val="7C085D21"/>
    <w:rsid w:val="7CB8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9"/>
    <w:pPr>
      <w:keepNext/>
      <w:jc w:val="center"/>
      <w:outlineLvl w:val="0"/>
    </w:pPr>
    <w:rPr>
      <w:rFonts w:ascii="楷体_GB2312" w:hAnsi="Times New Roman" w:eastAsia="楷体_GB2312" w:cs="Times New Roman"/>
      <w:sz w:val="28"/>
      <w:szCs w:val="28"/>
    </w:rPr>
  </w:style>
  <w:style w:type="paragraph" w:styleId="4">
    <w:name w:val="heading 2"/>
    <w:basedOn w:val="1"/>
    <w:next w:val="5"/>
    <w:link w:val="71"/>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6">
    <w:name w:val="heading 3"/>
    <w:basedOn w:val="1"/>
    <w:next w:val="5"/>
    <w:link w:val="7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5"/>
    <w:link w:val="73"/>
    <w:qFormat/>
    <w:uiPriority w:val="9"/>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5"/>
    <w:link w:val="74"/>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9">
    <w:name w:val="heading 6"/>
    <w:basedOn w:val="1"/>
    <w:next w:val="1"/>
    <w:link w:val="7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7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7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78"/>
    <w:qFormat/>
    <w:uiPriority w:val="0"/>
    <w:pPr>
      <w:keepNext/>
      <w:keepLines/>
      <w:spacing w:before="240" w:after="64" w:line="320" w:lineRule="auto"/>
      <w:outlineLvl w:val="8"/>
    </w:pPr>
    <w:rPr>
      <w:rFonts w:ascii="Arial" w:hAnsi="Arial" w:eastAsia="黑体" w:cs="Times New Roman"/>
      <w:szCs w:val="21"/>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eastAsia="宋体" w:cs="Times New Roman"/>
      <w:sz w:val="24"/>
      <w:szCs w:val="24"/>
    </w:rPr>
  </w:style>
  <w:style w:type="paragraph" w:styleId="5">
    <w:name w:val="Normal Indent"/>
    <w:basedOn w:val="1"/>
    <w:link w:val="100"/>
    <w:qFormat/>
    <w:uiPriority w:val="0"/>
    <w:pPr>
      <w:ind w:firstLine="420"/>
    </w:pPr>
    <w:rPr>
      <w:szCs w:val="21"/>
    </w:rPr>
  </w:style>
  <w:style w:type="paragraph" w:styleId="13">
    <w:name w:val="List 3"/>
    <w:basedOn w:val="1"/>
    <w:qFormat/>
    <w:uiPriority w:val="0"/>
    <w:pPr>
      <w:ind w:left="100" w:leftChars="400" w:hanging="200" w:hangingChars="200"/>
    </w:pPr>
    <w:rPr>
      <w:rFonts w:ascii="Times New Roman" w:hAnsi="Times New Roman" w:eastAsia="宋体" w:cs="Times New Roman"/>
      <w:szCs w:val="21"/>
    </w:rPr>
  </w:style>
  <w:style w:type="paragraph" w:styleId="14">
    <w:name w:val="toc 7"/>
    <w:basedOn w:val="1"/>
    <w:next w:val="1"/>
    <w:qFormat/>
    <w:uiPriority w:val="0"/>
    <w:pPr>
      <w:ind w:left="1260"/>
      <w:jc w:val="left"/>
    </w:pPr>
    <w:rPr>
      <w:rFonts w:ascii="Times New Roman" w:hAnsi="Times New Roman" w:eastAsia="宋体" w:cs="Times New Roman"/>
      <w:szCs w:val="21"/>
    </w:rPr>
  </w:style>
  <w:style w:type="paragraph" w:styleId="15">
    <w:name w:val="table of authorities"/>
    <w:basedOn w:val="1"/>
    <w:next w:val="1"/>
    <w:qFormat/>
    <w:uiPriority w:val="0"/>
    <w:pPr>
      <w:ind w:left="210" w:hanging="210"/>
      <w:jc w:val="left"/>
    </w:pPr>
    <w:rPr>
      <w:rFonts w:ascii="Calibri" w:hAnsi="Calibri" w:eastAsia="宋体" w:cs="Calibri"/>
      <w:sz w:val="20"/>
      <w:szCs w:val="20"/>
    </w:rPr>
  </w:style>
  <w:style w:type="paragraph" w:styleId="16">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9">
    <w:name w:val="List Bullet"/>
    <w:basedOn w:val="1"/>
    <w:qFormat/>
    <w:uiPriority w:val="0"/>
    <w:pPr>
      <w:tabs>
        <w:tab w:val="left" w:pos="360"/>
        <w:tab w:val="left" w:pos="420"/>
      </w:tabs>
      <w:ind w:left="420" w:hanging="420"/>
    </w:pPr>
    <w:rPr>
      <w:rFonts w:ascii="Calibri" w:hAnsi="Calibri" w:eastAsia="宋体" w:cs="Times New Roman"/>
    </w:rPr>
  </w:style>
  <w:style w:type="paragraph" w:styleId="20">
    <w:name w:val="Document Map"/>
    <w:basedOn w:val="1"/>
    <w:link w:val="169"/>
    <w:qFormat/>
    <w:uiPriority w:val="0"/>
    <w:pPr>
      <w:shd w:val="clear" w:color="auto" w:fill="000080"/>
    </w:pPr>
    <w:rPr>
      <w:rFonts w:ascii="Times New Roman" w:hAnsi="Times New Roman" w:eastAsia="宋体" w:cs="Times New Roman"/>
      <w:szCs w:val="21"/>
    </w:rPr>
  </w:style>
  <w:style w:type="paragraph" w:styleId="21">
    <w:name w:val="toa heading"/>
    <w:basedOn w:val="1"/>
    <w:next w:val="1"/>
    <w:qFormat/>
    <w:uiPriority w:val="0"/>
    <w:pPr>
      <w:spacing w:before="240" w:after="120"/>
      <w:jc w:val="center"/>
    </w:pPr>
    <w:rPr>
      <w:rFonts w:ascii="Calibri" w:hAnsi="Calibri" w:eastAsia="宋体" w:cs="Calibri"/>
      <w:smallCaps/>
      <w:sz w:val="22"/>
      <w:u w:val="single"/>
    </w:rPr>
  </w:style>
  <w:style w:type="paragraph" w:styleId="22">
    <w:name w:val="annotation text"/>
    <w:basedOn w:val="1"/>
    <w:link w:val="97"/>
    <w:qFormat/>
    <w:uiPriority w:val="99"/>
    <w:pPr>
      <w:jc w:val="left"/>
    </w:pPr>
    <w:rPr>
      <w:szCs w:val="21"/>
    </w:rPr>
  </w:style>
  <w:style w:type="paragraph" w:styleId="23">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4">
    <w:name w:val="Salutation"/>
    <w:basedOn w:val="1"/>
    <w:next w:val="1"/>
    <w:link w:val="114"/>
    <w:unhideWhenUsed/>
    <w:qFormat/>
    <w:uiPriority w:val="99"/>
    <w:rPr>
      <w:sz w:val="28"/>
    </w:rPr>
  </w:style>
  <w:style w:type="paragraph" w:styleId="25">
    <w:name w:val="Body Text 3"/>
    <w:basedOn w:val="1"/>
    <w:link w:val="80"/>
    <w:qFormat/>
    <w:uiPriority w:val="0"/>
    <w:rPr>
      <w:rFonts w:ascii="仿宋_GB2312" w:hAnsi="Arial" w:eastAsia="仿宋_GB2312"/>
      <w:sz w:val="32"/>
      <w:szCs w:val="32"/>
    </w:rPr>
  </w:style>
  <w:style w:type="paragraph" w:styleId="26">
    <w:name w:val="Body Text"/>
    <w:basedOn w:val="1"/>
    <w:link w:val="105"/>
    <w:qFormat/>
    <w:uiPriority w:val="0"/>
    <w:rPr>
      <w:rFonts w:ascii="楷体_GB2312" w:hAnsi="Arial" w:eastAsia="楷体_GB2312"/>
      <w:sz w:val="28"/>
      <w:szCs w:val="28"/>
    </w:rPr>
  </w:style>
  <w:style w:type="paragraph" w:styleId="27">
    <w:name w:val="Body Text Indent"/>
    <w:basedOn w:val="1"/>
    <w:link w:val="104"/>
    <w:qFormat/>
    <w:uiPriority w:val="0"/>
    <w:pPr>
      <w:ind w:firstLine="645"/>
    </w:pPr>
    <w:rPr>
      <w:rFonts w:ascii="楷体_GB2312" w:eastAsia="楷体_GB2312"/>
      <w:sz w:val="32"/>
      <w:szCs w:val="32"/>
    </w:rPr>
  </w:style>
  <w:style w:type="paragraph" w:styleId="28">
    <w:name w:val="List 2"/>
    <w:basedOn w:val="1"/>
    <w:qFormat/>
    <w:uiPriority w:val="0"/>
    <w:pPr>
      <w:ind w:left="100" w:leftChars="200" w:hanging="200" w:hangingChars="200"/>
    </w:pPr>
    <w:rPr>
      <w:rFonts w:ascii="Times New Roman" w:hAnsi="Times New Roman" w:eastAsia="宋体" w:cs="Times New Roman"/>
      <w:szCs w:val="21"/>
    </w:rPr>
  </w:style>
  <w:style w:type="paragraph" w:styleId="29">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30">
    <w:name w:val="toc 5"/>
    <w:basedOn w:val="1"/>
    <w:next w:val="1"/>
    <w:qFormat/>
    <w:uiPriority w:val="0"/>
    <w:pPr>
      <w:ind w:left="840"/>
      <w:jc w:val="left"/>
    </w:pPr>
    <w:rPr>
      <w:rFonts w:ascii="Times New Roman" w:hAnsi="Times New Roman" w:eastAsia="宋体" w:cs="Times New Roman"/>
      <w:szCs w:val="21"/>
    </w:rPr>
  </w:style>
  <w:style w:type="paragraph" w:styleId="31">
    <w:name w:val="toc 3"/>
    <w:basedOn w:val="1"/>
    <w:next w:val="1"/>
    <w:qFormat/>
    <w:uiPriority w:val="39"/>
    <w:pPr>
      <w:ind w:left="420"/>
      <w:jc w:val="left"/>
    </w:pPr>
    <w:rPr>
      <w:rFonts w:ascii="Times New Roman" w:hAnsi="Times New Roman" w:eastAsia="宋体" w:cs="Times New Roman"/>
      <w:i/>
      <w:iCs/>
      <w:szCs w:val="24"/>
    </w:rPr>
  </w:style>
  <w:style w:type="paragraph" w:styleId="32">
    <w:name w:val="Plain Text"/>
    <w:basedOn w:val="1"/>
    <w:link w:val="124"/>
    <w:qFormat/>
    <w:uiPriority w:val="0"/>
    <w:rPr>
      <w:rFonts w:ascii="宋体" w:hAnsi="Courier New" w:cs="Courier New"/>
      <w:szCs w:val="21"/>
    </w:rPr>
  </w:style>
  <w:style w:type="paragraph" w:styleId="33">
    <w:name w:val="toc 8"/>
    <w:basedOn w:val="1"/>
    <w:next w:val="1"/>
    <w:qFormat/>
    <w:uiPriority w:val="0"/>
    <w:pPr>
      <w:ind w:left="1470"/>
      <w:jc w:val="left"/>
    </w:pPr>
    <w:rPr>
      <w:rFonts w:ascii="Times New Roman" w:hAnsi="Times New Roman" w:eastAsia="宋体" w:cs="Times New Roman"/>
      <w:szCs w:val="21"/>
    </w:rPr>
  </w:style>
  <w:style w:type="paragraph" w:styleId="34">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5">
    <w:name w:val="Date"/>
    <w:basedOn w:val="1"/>
    <w:next w:val="1"/>
    <w:link w:val="156"/>
    <w:qFormat/>
    <w:uiPriority w:val="0"/>
    <w:rPr>
      <w:rFonts w:ascii="Times New Roman" w:hAnsi="Times New Roman" w:eastAsia="宋体" w:cs="Times New Roman"/>
      <w:sz w:val="24"/>
      <w:szCs w:val="24"/>
    </w:rPr>
  </w:style>
  <w:style w:type="paragraph" w:styleId="36">
    <w:name w:val="Body Text Indent 2"/>
    <w:basedOn w:val="1"/>
    <w:link w:val="171"/>
    <w:qFormat/>
    <w:uiPriority w:val="0"/>
    <w:pPr>
      <w:ind w:left="630" w:firstLine="645"/>
    </w:pPr>
    <w:rPr>
      <w:rFonts w:ascii="Arial" w:hAnsi="Arial" w:eastAsia="仿宋_GB2312" w:cs="Arial"/>
      <w:sz w:val="32"/>
      <w:szCs w:val="32"/>
    </w:rPr>
  </w:style>
  <w:style w:type="paragraph" w:styleId="37">
    <w:name w:val="Balloon Text"/>
    <w:basedOn w:val="1"/>
    <w:link w:val="194"/>
    <w:qFormat/>
    <w:uiPriority w:val="0"/>
    <w:rPr>
      <w:rFonts w:ascii="Times New Roman" w:hAnsi="Times New Roman" w:eastAsia="宋体" w:cs="Times New Roman"/>
      <w:sz w:val="18"/>
      <w:szCs w:val="18"/>
    </w:rPr>
  </w:style>
  <w:style w:type="paragraph" w:styleId="38">
    <w:name w:val="footer"/>
    <w:basedOn w:val="1"/>
    <w:link w:val="99"/>
    <w:qFormat/>
    <w:uiPriority w:val="99"/>
    <w:pPr>
      <w:tabs>
        <w:tab w:val="center" w:pos="4153"/>
        <w:tab w:val="right" w:pos="8306"/>
      </w:tabs>
      <w:snapToGrid w:val="0"/>
      <w:jc w:val="left"/>
    </w:pPr>
    <w:rPr>
      <w:sz w:val="18"/>
      <w:szCs w:val="18"/>
    </w:rPr>
  </w:style>
  <w:style w:type="paragraph" w:styleId="39">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1">
    <w:name w:val="toc 4"/>
    <w:basedOn w:val="1"/>
    <w:next w:val="1"/>
    <w:qFormat/>
    <w:uiPriority w:val="0"/>
    <w:pPr>
      <w:ind w:left="630"/>
      <w:jc w:val="left"/>
    </w:pPr>
    <w:rPr>
      <w:rFonts w:ascii="Times New Roman" w:hAnsi="Times New Roman" w:eastAsia="宋体" w:cs="Times New Roman"/>
      <w:szCs w:val="21"/>
    </w:rPr>
  </w:style>
  <w:style w:type="paragraph" w:styleId="42">
    <w:name w:val="index heading"/>
    <w:basedOn w:val="1"/>
    <w:next w:val="43"/>
    <w:qFormat/>
    <w:uiPriority w:val="0"/>
    <w:pPr>
      <w:spacing w:before="120" w:after="120"/>
      <w:jc w:val="left"/>
    </w:pPr>
    <w:rPr>
      <w:rFonts w:ascii="Times New Roman" w:hAnsi="Times New Roman" w:eastAsia="宋体" w:cs="Times New Roman"/>
      <w:b/>
      <w:i/>
      <w:sz w:val="20"/>
      <w:szCs w:val="20"/>
    </w:rPr>
  </w:style>
  <w:style w:type="paragraph" w:styleId="43">
    <w:name w:val="index 1"/>
    <w:basedOn w:val="1"/>
    <w:next w:val="1"/>
    <w:unhideWhenUsed/>
    <w:qFormat/>
    <w:uiPriority w:val="0"/>
  </w:style>
  <w:style w:type="paragraph" w:styleId="44">
    <w:name w:val="List"/>
    <w:basedOn w:val="1"/>
    <w:qFormat/>
    <w:uiPriority w:val="0"/>
    <w:pPr>
      <w:ind w:left="200" w:hanging="200" w:hangingChars="200"/>
    </w:pPr>
    <w:rPr>
      <w:rFonts w:ascii="Times New Roman" w:hAnsi="Times New Roman" w:eastAsia="宋体" w:cs="Times New Roman"/>
      <w:szCs w:val="21"/>
    </w:rPr>
  </w:style>
  <w:style w:type="paragraph" w:styleId="45">
    <w:name w:val="toc 6"/>
    <w:basedOn w:val="1"/>
    <w:next w:val="1"/>
    <w:qFormat/>
    <w:uiPriority w:val="0"/>
    <w:pPr>
      <w:ind w:left="1050"/>
      <w:jc w:val="left"/>
    </w:pPr>
    <w:rPr>
      <w:rFonts w:ascii="Times New Roman" w:hAnsi="Times New Roman" w:eastAsia="宋体" w:cs="Times New Roman"/>
      <w:szCs w:val="21"/>
    </w:rPr>
  </w:style>
  <w:style w:type="paragraph" w:styleId="46">
    <w:name w:val="Body Text Indent 3"/>
    <w:basedOn w:val="1"/>
    <w:link w:val="197"/>
    <w:qFormat/>
    <w:uiPriority w:val="0"/>
    <w:pPr>
      <w:ind w:left="645" w:firstLine="645"/>
    </w:pPr>
    <w:rPr>
      <w:rFonts w:ascii="Arial" w:hAnsi="Arial" w:eastAsia="仿宋_GB2312" w:cs="Arial"/>
      <w:color w:val="FFFF00"/>
      <w:sz w:val="32"/>
      <w:szCs w:val="32"/>
    </w:rPr>
  </w:style>
  <w:style w:type="paragraph" w:styleId="47">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8">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9">
    <w:name w:val="table of figures"/>
    <w:basedOn w:val="1"/>
    <w:next w:val="1"/>
    <w:semiHidden/>
    <w:qFormat/>
    <w:uiPriority w:val="0"/>
    <w:pPr>
      <w:ind w:left="840" w:hanging="420"/>
    </w:pPr>
    <w:rPr>
      <w:rFonts w:ascii="Times New Roman" w:hAnsi="Times New Roman" w:eastAsia="宋体" w:cs="Times New Roman"/>
      <w:szCs w:val="21"/>
    </w:rPr>
  </w:style>
  <w:style w:type="paragraph" w:styleId="50">
    <w:name w:val="toc 2"/>
    <w:basedOn w:val="1"/>
    <w:next w:val="1"/>
    <w:qFormat/>
    <w:uiPriority w:val="39"/>
    <w:pPr>
      <w:ind w:left="210"/>
      <w:jc w:val="left"/>
    </w:pPr>
    <w:rPr>
      <w:rFonts w:ascii="Times New Roman" w:hAnsi="Times New Roman" w:eastAsia="宋体" w:cs="Times New Roman"/>
      <w:smallCaps/>
      <w:szCs w:val="24"/>
    </w:rPr>
  </w:style>
  <w:style w:type="paragraph" w:styleId="51">
    <w:name w:val="toc 9"/>
    <w:basedOn w:val="1"/>
    <w:next w:val="1"/>
    <w:qFormat/>
    <w:uiPriority w:val="0"/>
    <w:pPr>
      <w:ind w:left="1680"/>
      <w:jc w:val="left"/>
    </w:pPr>
    <w:rPr>
      <w:rFonts w:ascii="Times New Roman" w:hAnsi="Times New Roman" w:eastAsia="宋体" w:cs="Times New Roman"/>
      <w:szCs w:val="21"/>
    </w:rPr>
  </w:style>
  <w:style w:type="paragraph" w:styleId="52">
    <w:name w:val="Body Text 2"/>
    <w:basedOn w:val="1"/>
    <w:link w:val="202"/>
    <w:qFormat/>
    <w:uiPriority w:val="0"/>
    <w:pPr>
      <w:widowControl/>
      <w:jc w:val="center"/>
    </w:pPr>
    <w:rPr>
      <w:rFonts w:ascii="楷体_GB2312" w:hAnsi="Times New Roman" w:eastAsia="楷体_GB2312" w:cs="Times New Roman"/>
      <w:sz w:val="28"/>
      <w:szCs w:val="28"/>
    </w:rPr>
  </w:style>
  <w:style w:type="paragraph" w:styleId="53">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5">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6">
    <w:name w:val="Title"/>
    <w:basedOn w:val="1"/>
    <w:next w:val="1"/>
    <w:link w:val="108"/>
    <w:qFormat/>
    <w:uiPriority w:val="0"/>
    <w:pPr>
      <w:spacing w:before="240" w:after="60"/>
      <w:jc w:val="center"/>
      <w:outlineLvl w:val="0"/>
    </w:pPr>
    <w:rPr>
      <w:rFonts w:ascii="Cambria" w:hAnsi="Cambria"/>
      <w:b/>
      <w:bCs/>
      <w:sz w:val="32"/>
      <w:szCs w:val="32"/>
    </w:rPr>
  </w:style>
  <w:style w:type="paragraph" w:styleId="57">
    <w:name w:val="annotation subject"/>
    <w:basedOn w:val="22"/>
    <w:next w:val="22"/>
    <w:link w:val="203"/>
    <w:qFormat/>
    <w:uiPriority w:val="0"/>
    <w:rPr>
      <w:b/>
      <w:bCs/>
    </w:rPr>
  </w:style>
  <w:style w:type="paragraph" w:styleId="58">
    <w:name w:val="Body Text First Indent"/>
    <w:basedOn w:val="1"/>
    <w:link w:val="199"/>
    <w:qFormat/>
    <w:uiPriority w:val="0"/>
    <w:pPr>
      <w:spacing w:line="360" w:lineRule="auto"/>
      <w:ind w:firstLine="200" w:firstLineChars="200"/>
    </w:pPr>
    <w:rPr>
      <w:rFonts w:ascii="仿宋_GB2312" w:hAnsi="Times New Roman" w:eastAsia="仿宋_GB2312" w:cs="Times New Roman"/>
      <w:sz w:val="30"/>
      <w:szCs w:val="30"/>
    </w:rPr>
  </w:style>
  <w:style w:type="paragraph" w:styleId="59">
    <w:name w:val="Body Text First Indent 2"/>
    <w:basedOn w:val="27"/>
    <w:link w:val="195"/>
    <w:qFormat/>
    <w:uiPriority w:val="0"/>
    <w:pPr>
      <w:spacing w:line="360" w:lineRule="auto"/>
      <w:ind w:firstLine="420" w:firstLineChars="200"/>
    </w:pPr>
    <w:rPr>
      <w:rFonts w:ascii="宋体" w:hAnsi="宋体" w:eastAsia="宋体"/>
      <w:sz w:val="21"/>
      <w:szCs w:val="20"/>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Professional"/>
    <w:basedOn w:val="6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800080"/>
      <w:u w:val="single"/>
    </w:rPr>
  </w:style>
  <w:style w:type="character" w:styleId="67">
    <w:name w:val="HTML Typewriter"/>
    <w:qFormat/>
    <w:uiPriority w:val="0"/>
    <w:rPr>
      <w:rFonts w:ascii="宋体" w:hAnsi="宋体" w:eastAsia="宋体" w:cs="宋体"/>
      <w:sz w:val="24"/>
      <w:szCs w:val="24"/>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customStyle="1" w:styleId="70">
    <w:name w:val="标题 1 Char"/>
    <w:basedOn w:val="63"/>
    <w:link w:val="3"/>
    <w:qFormat/>
    <w:uiPriority w:val="9"/>
    <w:rPr>
      <w:rFonts w:ascii="楷体_GB2312" w:hAnsi="Times New Roman" w:eastAsia="楷体_GB2312" w:cs="Times New Roman"/>
      <w:sz w:val="28"/>
      <w:szCs w:val="28"/>
    </w:rPr>
  </w:style>
  <w:style w:type="character" w:customStyle="1" w:styleId="71">
    <w:name w:val="标题 2 Char"/>
    <w:basedOn w:val="63"/>
    <w:link w:val="4"/>
    <w:qFormat/>
    <w:uiPriority w:val="0"/>
    <w:rPr>
      <w:rFonts w:ascii="Arial" w:hAnsi="Arial" w:eastAsia="幼圆" w:cs="Times New Roman"/>
      <w:b/>
      <w:bCs/>
      <w:sz w:val="44"/>
      <w:szCs w:val="44"/>
    </w:rPr>
  </w:style>
  <w:style w:type="character" w:customStyle="1" w:styleId="72">
    <w:name w:val="标题 3 Char"/>
    <w:basedOn w:val="63"/>
    <w:link w:val="6"/>
    <w:qFormat/>
    <w:uiPriority w:val="0"/>
    <w:rPr>
      <w:rFonts w:ascii="Times New Roman" w:hAnsi="Times New Roman" w:eastAsia="宋体" w:cs="Times New Roman"/>
      <w:b/>
      <w:bCs/>
      <w:sz w:val="32"/>
      <w:szCs w:val="32"/>
    </w:rPr>
  </w:style>
  <w:style w:type="character" w:customStyle="1" w:styleId="73">
    <w:name w:val="标题 4 Char"/>
    <w:basedOn w:val="63"/>
    <w:link w:val="7"/>
    <w:qFormat/>
    <w:uiPriority w:val="9"/>
    <w:rPr>
      <w:rFonts w:ascii="Arial" w:hAnsi="Arial" w:eastAsia="黑体" w:cs="Times New Roman"/>
      <w:b/>
      <w:bCs/>
      <w:sz w:val="28"/>
      <w:szCs w:val="28"/>
    </w:rPr>
  </w:style>
  <w:style w:type="character" w:customStyle="1" w:styleId="74">
    <w:name w:val="标题 5 Char"/>
    <w:basedOn w:val="63"/>
    <w:link w:val="8"/>
    <w:qFormat/>
    <w:uiPriority w:val="0"/>
    <w:rPr>
      <w:rFonts w:ascii="宋体" w:hAnsi="Times New Roman" w:eastAsia="宋体" w:cs="Times New Roman"/>
      <w:color w:val="000000"/>
      <w:kern w:val="0"/>
      <w:sz w:val="28"/>
      <w:szCs w:val="28"/>
    </w:rPr>
  </w:style>
  <w:style w:type="character" w:customStyle="1" w:styleId="75">
    <w:name w:val="标题 6 Char"/>
    <w:basedOn w:val="63"/>
    <w:link w:val="9"/>
    <w:qFormat/>
    <w:uiPriority w:val="0"/>
    <w:rPr>
      <w:rFonts w:ascii="Arial" w:hAnsi="Arial" w:eastAsia="黑体" w:cs="Times New Roman"/>
      <w:b/>
      <w:bCs/>
      <w:sz w:val="24"/>
      <w:szCs w:val="24"/>
    </w:rPr>
  </w:style>
  <w:style w:type="character" w:customStyle="1" w:styleId="76">
    <w:name w:val="标题 7 Char"/>
    <w:basedOn w:val="63"/>
    <w:link w:val="10"/>
    <w:qFormat/>
    <w:uiPriority w:val="0"/>
    <w:rPr>
      <w:rFonts w:ascii="Times New Roman" w:hAnsi="Times New Roman" w:eastAsia="宋体" w:cs="Times New Roman"/>
      <w:b/>
      <w:bCs/>
      <w:sz w:val="24"/>
      <w:szCs w:val="24"/>
    </w:rPr>
  </w:style>
  <w:style w:type="character" w:customStyle="1" w:styleId="77">
    <w:name w:val="标题 8 Char"/>
    <w:basedOn w:val="63"/>
    <w:link w:val="11"/>
    <w:qFormat/>
    <w:uiPriority w:val="0"/>
    <w:rPr>
      <w:rFonts w:ascii="Arial" w:hAnsi="Arial" w:eastAsia="黑体" w:cs="Times New Roman"/>
      <w:sz w:val="24"/>
      <w:szCs w:val="24"/>
    </w:rPr>
  </w:style>
  <w:style w:type="character" w:customStyle="1" w:styleId="78">
    <w:name w:val="标题 9 Char"/>
    <w:basedOn w:val="63"/>
    <w:link w:val="12"/>
    <w:qFormat/>
    <w:uiPriority w:val="0"/>
    <w:rPr>
      <w:rFonts w:ascii="Arial" w:hAnsi="Arial" w:eastAsia="黑体" w:cs="Times New Roman"/>
      <w:szCs w:val="21"/>
    </w:rPr>
  </w:style>
  <w:style w:type="character" w:customStyle="1" w:styleId="79">
    <w:name w:val="纯文本 字符"/>
    <w:qFormat/>
    <w:uiPriority w:val="0"/>
    <w:rPr>
      <w:rFonts w:ascii="宋体" w:hAnsi="Courier New" w:cs="Courier New"/>
      <w:kern w:val="2"/>
      <w:sz w:val="21"/>
      <w:szCs w:val="21"/>
    </w:rPr>
  </w:style>
  <w:style w:type="character" w:customStyle="1" w:styleId="80">
    <w:name w:val="正文文本 3 Char"/>
    <w:link w:val="25"/>
    <w:qFormat/>
    <w:uiPriority w:val="0"/>
    <w:rPr>
      <w:rFonts w:ascii="仿宋_GB2312" w:hAnsi="Arial" w:eastAsia="仿宋_GB2312"/>
      <w:sz w:val="32"/>
      <w:szCs w:val="32"/>
    </w:rPr>
  </w:style>
  <w:style w:type="character" w:customStyle="1" w:styleId="81">
    <w:name w:val="无间隔 Char"/>
    <w:link w:val="82"/>
    <w:qFormat/>
    <w:uiPriority w:val="1"/>
    <w:rPr>
      <w:rFonts w:ascii="Calibri" w:hAnsi="Calibri"/>
    </w:rPr>
  </w:style>
  <w:style w:type="paragraph" w:styleId="82">
    <w:name w:val="No Spacing"/>
    <w:link w:val="81"/>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3">
    <w:name w:val="页眉 Char"/>
    <w:link w:val="39"/>
    <w:qFormat/>
    <w:uiPriority w:val="99"/>
    <w:rPr>
      <w:sz w:val="18"/>
      <w:szCs w:val="18"/>
    </w:rPr>
  </w:style>
  <w:style w:type="character" w:customStyle="1" w:styleId="84">
    <w:name w:val="二级目录 Char"/>
    <w:link w:val="85"/>
    <w:qFormat/>
    <w:uiPriority w:val="0"/>
    <w:rPr>
      <w:b/>
      <w:sz w:val="30"/>
      <w:szCs w:val="28"/>
    </w:rPr>
  </w:style>
  <w:style w:type="paragraph" w:customStyle="1" w:styleId="85">
    <w:name w:val="二级目录"/>
    <w:next w:val="1"/>
    <w:link w:val="84"/>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6">
    <w:name w:val="正文缩进 字符"/>
    <w:qFormat/>
    <w:uiPriority w:val="0"/>
    <w:rPr>
      <w:kern w:val="2"/>
      <w:sz w:val="21"/>
      <w:szCs w:val="21"/>
    </w:rPr>
  </w:style>
  <w:style w:type="character" w:customStyle="1" w:styleId="87">
    <w:name w:val="font1"/>
    <w:qFormat/>
    <w:uiPriority w:val="0"/>
    <w:rPr>
      <w:color w:val="333333"/>
      <w:spacing w:val="450"/>
      <w:sz w:val="18"/>
      <w:szCs w:val="18"/>
      <w:u w:val="none"/>
    </w:rPr>
  </w:style>
  <w:style w:type="character" w:customStyle="1" w:styleId="88">
    <w:name w:val="font41"/>
    <w:qFormat/>
    <w:uiPriority w:val="0"/>
    <w:rPr>
      <w:rFonts w:hint="eastAsia" w:ascii="宋体" w:hAnsi="宋体" w:eastAsia="宋体" w:cs="宋体"/>
      <w:color w:val="000000"/>
      <w:sz w:val="20"/>
      <w:szCs w:val="20"/>
      <w:u w:val="none"/>
    </w:rPr>
  </w:style>
  <w:style w:type="character" w:customStyle="1" w:styleId="89">
    <w:name w:val="aaaaaaaaaaaaaaa Char Char"/>
    <w:qFormat/>
    <w:uiPriority w:val="0"/>
    <w:rPr>
      <w:rFonts w:ascii="宋体" w:hAnsi="宋体" w:eastAsia="宋体"/>
      <w:sz w:val="21"/>
      <w:lang w:val="en-US" w:eastAsia="zh-CN" w:bidi="ar-SA"/>
    </w:rPr>
  </w:style>
  <w:style w:type="character" w:customStyle="1" w:styleId="90">
    <w:name w:val="font5 Char"/>
    <w:qFormat/>
    <w:uiPriority w:val="0"/>
    <w:rPr>
      <w:rFonts w:ascii="宋体" w:hAnsi="宋体" w:eastAsia="宋体"/>
      <w:sz w:val="28"/>
      <w:szCs w:val="28"/>
      <w:lang w:val="en-US" w:eastAsia="zh-CN" w:bidi="ar-SA"/>
    </w:rPr>
  </w:style>
  <w:style w:type="character" w:customStyle="1" w:styleId="91">
    <w:name w:val="charchar1"/>
    <w:basedOn w:val="63"/>
    <w:qFormat/>
    <w:uiPriority w:val="0"/>
  </w:style>
  <w:style w:type="character" w:customStyle="1" w:styleId="92">
    <w:name w:val="标题 1.1 Char"/>
    <w:qFormat/>
    <w:uiPriority w:val="0"/>
    <w:rPr>
      <w:rFonts w:ascii="Arial" w:hAnsi="Arial" w:eastAsia="黑体"/>
      <w:b/>
      <w:bCs/>
      <w:kern w:val="2"/>
      <w:sz w:val="32"/>
      <w:szCs w:val="32"/>
      <w:lang w:val="en-US" w:eastAsia="zh-CN" w:bidi="ar-SA"/>
    </w:rPr>
  </w:style>
  <w:style w:type="character" w:customStyle="1" w:styleId="93">
    <w:name w:val="标题二 Char"/>
    <w:link w:val="94"/>
    <w:qFormat/>
    <w:uiPriority w:val="0"/>
    <w:rPr>
      <w:rFonts w:ascii="宋体" w:hAnsi="宋体" w:cs="Calibri"/>
      <w:b/>
      <w:color w:val="000000"/>
      <w:kern w:val="1"/>
      <w:sz w:val="28"/>
      <w:szCs w:val="28"/>
    </w:rPr>
  </w:style>
  <w:style w:type="paragraph" w:customStyle="1" w:styleId="94">
    <w:name w:val="标题二"/>
    <w:basedOn w:val="95"/>
    <w:link w:val="93"/>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5">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6">
    <w:name w:val="Char Char1"/>
    <w:qFormat/>
    <w:uiPriority w:val="0"/>
    <w:rPr>
      <w:rFonts w:ascii="楷体_GB2312" w:eastAsia="楷体_GB2312"/>
      <w:sz w:val="28"/>
    </w:rPr>
  </w:style>
  <w:style w:type="character" w:customStyle="1" w:styleId="97">
    <w:name w:val="批注文字 Char"/>
    <w:link w:val="22"/>
    <w:qFormat/>
    <w:locked/>
    <w:uiPriority w:val="99"/>
    <w:rPr>
      <w:szCs w:val="21"/>
    </w:rPr>
  </w:style>
  <w:style w:type="character" w:customStyle="1" w:styleId="98">
    <w:name w:val="hei16b1"/>
    <w:qFormat/>
    <w:uiPriority w:val="0"/>
    <w:rPr>
      <w:rFonts w:hint="default" w:ascii="Arial" w:hAnsi="Arial" w:cs="Arial"/>
      <w:b/>
      <w:bCs/>
      <w:color w:val="000000"/>
      <w:sz w:val="24"/>
      <w:szCs w:val="24"/>
    </w:rPr>
  </w:style>
  <w:style w:type="character" w:customStyle="1" w:styleId="99">
    <w:name w:val="页脚 Char"/>
    <w:link w:val="38"/>
    <w:qFormat/>
    <w:uiPriority w:val="99"/>
    <w:rPr>
      <w:sz w:val="18"/>
      <w:szCs w:val="18"/>
    </w:rPr>
  </w:style>
  <w:style w:type="character" w:customStyle="1" w:styleId="100">
    <w:name w:val="正文缩进 Char"/>
    <w:link w:val="5"/>
    <w:qFormat/>
    <w:uiPriority w:val="0"/>
    <w:rPr>
      <w:szCs w:val="21"/>
    </w:rPr>
  </w:style>
  <w:style w:type="character" w:customStyle="1" w:styleId="101">
    <w:name w:val="Char Char"/>
    <w:qFormat/>
    <w:uiPriority w:val="0"/>
    <w:rPr>
      <w:rFonts w:ascii="宋体"/>
      <w:kern w:val="2"/>
      <w:sz w:val="18"/>
      <w:szCs w:val="18"/>
    </w:rPr>
  </w:style>
  <w:style w:type="character" w:customStyle="1" w:styleId="102">
    <w:name w:val="Plain Text Char Char"/>
    <w:link w:val="103"/>
    <w:qFormat/>
    <w:uiPriority w:val="0"/>
    <w:rPr>
      <w:rFonts w:ascii="宋体" w:hAnsi="Courier New"/>
    </w:rPr>
  </w:style>
  <w:style w:type="paragraph" w:customStyle="1" w:styleId="103">
    <w:name w:val="纯文本1"/>
    <w:basedOn w:val="1"/>
    <w:link w:val="102"/>
    <w:qFormat/>
    <w:uiPriority w:val="0"/>
    <w:rPr>
      <w:rFonts w:ascii="宋体" w:hAnsi="Courier New"/>
    </w:rPr>
  </w:style>
  <w:style w:type="character" w:customStyle="1" w:styleId="104">
    <w:name w:val="正文文本缩进 Char"/>
    <w:link w:val="27"/>
    <w:qFormat/>
    <w:uiPriority w:val="0"/>
    <w:rPr>
      <w:rFonts w:ascii="楷体_GB2312" w:eastAsia="楷体_GB2312"/>
      <w:sz w:val="32"/>
      <w:szCs w:val="32"/>
    </w:rPr>
  </w:style>
  <w:style w:type="character" w:customStyle="1" w:styleId="105">
    <w:name w:val="正文文本 Char"/>
    <w:link w:val="26"/>
    <w:qFormat/>
    <w:uiPriority w:val="0"/>
    <w:rPr>
      <w:rFonts w:ascii="楷体_GB2312" w:hAnsi="Arial" w:eastAsia="楷体_GB2312"/>
      <w:sz w:val="28"/>
      <w:szCs w:val="28"/>
    </w:rPr>
  </w:style>
  <w:style w:type="character" w:customStyle="1" w:styleId="106">
    <w:name w:val="ittext1"/>
    <w:basedOn w:val="63"/>
    <w:qFormat/>
    <w:uiPriority w:val="0"/>
  </w:style>
  <w:style w:type="character" w:customStyle="1" w:styleId="107">
    <w:name w:val="Char Char11"/>
    <w:qFormat/>
    <w:uiPriority w:val="0"/>
    <w:rPr>
      <w:rFonts w:ascii="宋体" w:hAnsi="Courier New" w:eastAsia="楷体_GB2312"/>
      <w:kern w:val="2"/>
      <w:sz w:val="24"/>
      <w:lang w:val="en-US" w:eastAsia="zh-CN" w:bidi="ar-SA"/>
    </w:rPr>
  </w:style>
  <w:style w:type="character" w:customStyle="1" w:styleId="108">
    <w:name w:val="标题 Char1"/>
    <w:link w:val="56"/>
    <w:qFormat/>
    <w:uiPriority w:val="0"/>
    <w:rPr>
      <w:rFonts w:ascii="Cambria" w:hAnsi="Cambria"/>
      <w:b/>
      <w:bCs/>
      <w:sz w:val="32"/>
      <w:szCs w:val="32"/>
    </w:rPr>
  </w:style>
  <w:style w:type="character" w:customStyle="1" w:styleId="109">
    <w:name w:val="Table Sub Section Char"/>
    <w:link w:val="110"/>
    <w:qFormat/>
    <w:locked/>
    <w:uiPriority w:val="0"/>
    <w:rPr>
      <w:rFonts w:ascii="Arial" w:hAnsi="Arial"/>
      <w:b/>
      <w:color w:val="0F0F0F"/>
      <w:lang w:eastAsia="en-US"/>
    </w:rPr>
  </w:style>
  <w:style w:type="paragraph" w:customStyle="1" w:styleId="110">
    <w:name w:val="Table Sub Section"/>
    <w:basedOn w:val="1"/>
    <w:link w:val="109"/>
    <w:qFormat/>
    <w:uiPriority w:val="0"/>
    <w:pPr>
      <w:keepNext/>
      <w:widowControl/>
      <w:spacing w:before="160" w:after="160" w:line="276" w:lineRule="auto"/>
      <w:jc w:val="left"/>
    </w:pPr>
    <w:rPr>
      <w:rFonts w:ascii="Arial" w:hAnsi="Arial"/>
      <w:b/>
      <w:color w:val="0F0F0F"/>
      <w:lang w:eastAsia="en-US"/>
    </w:rPr>
  </w:style>
  <w:style w:type="character" w:customStyle="1" w:styleId="111">
    <w:name w:val="纯文本 Char1"/>
    <w:qFormat/>
    <w:uiPriority w:val="0"/>
    <w:rPr>
      <w:rFonts w:ascii="宋体" w:hAnsi="Courier New" w:eastAsia="宋体" w:cs="Times New Roman"/>
      <w:szCs w:val="21"/>
    </w:rPr>
  </w:style>
  <w:style w:type="character" w:customStyle="1" w:styleId="112">
    <w:name w:val="标题 Char"/>
    <w:qFormat/>
    <w:uiPriority w:val="0"/>
    <w:rPr>
      <w:rFonts w:ascii="Cambria" w:hAnsi="Cambria" w:cs="Times New Roman"/>
      <w:b/>
      <w:bCs/>
      <w:kern w:val="2"/>
      <w:sz w:val="32"/>
      <w:szCs w:val="32"/>
    </w:rPr>
  </w:style>
  <w:style w:type="character" w:customStyle="1" w:styleId="113">
    <w:name w:val="标题 1 字符1"/>
    <w:qFormat/>
    <w:uiPriority w:val="0"/>
    <w:rPr>
      <w:rFonts w:ascii="楷体_GB2312" w:eastAsia="楷体_GB2312"/>
      <w:kern w:val="2"/>
      <w:sz w:val="28"/>
      <w:szCs w:val="28"/>
    </w:rPr>
  </w:style>
  <w:style w:type="character" w:customStyle="1" w:styleId="114">
    <w:name w:val="称呼 Char"/>
    <w:link w:val="24"/>
    <w:qFormat/>
    <w:uiPriority w:val="99"/>
    <w:rPr>
      <w:sz w:val="28"/>
    </w:rPr>
  </w:style>
  <w:style w:type="character" w:customStyle="1" w:styleId="115">
    <w:name w:val="普通文字 Char3"/>
    <w:qFormat/>
    <w:uiPriority w:val="0"/>
    <w:rPr>
      <w:rFonts w:ascii="宋体" w:hAnsi="Courier New" w:eastAsia="宋体"/>
      <w:kern w:val="2"/>
      <w:sz w:val="21"/>
      <w:lang w:val="en-US" w:eastAsia="zh-CN" w:bidi="ar-SA"/>
    </w:rPr>
  </w:style>
  <w:style w:type="character" w:customStyle="1" w:styleId="116">
    <w:name w:val="列出段落 Char"/>
    <w:link w:val="117"/>
    <w:qFormat/>
    <w:locked/>
    <w:uiPriority w:val="0"/>
    <w:rPr>
      <w:rFonts w:ascii="Calibri" w:hAnsi="Calibri"/>
      <w:sz w:val="24"/>
      <w:szCs w:val="24"/>
      <w:lang w:eastAsia="en-US" w:bidi="en-US"/>
    </w:rPr>
  </w:style>
  <w:style w:type="paragraph" w:customStyle="1" w:styleId="117">
    <w:name w:val="列出段落11"/>
    <w:basedOn w:val="1"/>
    <w:link w:val="116"/>
    <w:qFormat/>
    <w:uiPriority w:val="0"/>
    <w:pPr>
      <w:widowControl/>
      <w:ind w:left="720"/>
      <w:contextualSpacing/>
      <w:jc w:val="left"/>
    </w:pPr>
    <w:rPr>
      <w:rFonts w:ascii="Calibri" w:hAnsi="Calibri"/>
      <w:sz w:val="24"/>
      <w:szCs w:val="24"/>
      <w:lang w:eastAsia="en-US" w:bidi="en-US"/>
    </w:rPr>
  </w:style>
  <w:style w:type="character" w:customStyle="1" w:styleId="118">
    <w:name w:val="HTML 预设格式 Char"/>
    <w:link w:val="53"/>
    <w:qFormat/>
    <w:uiPriority w:val="0"/>
    <w:rPr>
      <w:rFonts w:ascii="宋体" w:hAnsi="宋体" w:cs="宋体"/>
      <w:color w:val="000000"/>
      <w:sz w:val="24"/>
      <w:szCs w:val="24"/>
    </w:rPr>
  </w:style>
  <w:style w:type="character" w:customStyle="1" w:styleId="119">
    <w:name w:val="apple-converted-space"/>
    <w:basedOn w:val="63"/>
    <w:qFormat/>
    <w:uiPriority w:val="0"/>
  </w:style>
  <w:style w:type="character" w:customStyle="1" w:styleId="120">
    <w:name w:val="aaaaaaaaaaaaaaa Char"/>
    <w:link w:val="121"/>
    <w:qFormat/>
    <w:uiPriority w:val="0"/>
    <w:rPr>
      <w:rFonts w:ascii="宋体" w:hAnsi="宋体"/>
    </w:rPr>
  </w:style>
  <w:style w:type="paragraph" w:customStyle="1" w:styleId="121">
    <w:name w:val="aaaaaaaaaaaaaaa"/>
    <w:basedOn w:val="1"/>
    <w:link w:val="120"/>
    <w:qFormat/>
    <w:uiPriority w:val="0"/>
    <w:pPr>
      <w:widowControl/>
      <w:spacing w:beforeLines="100" w:afterLines="100" w:line="360" w:lineRule="exact"/>
      <w:ind w:firstLine="200" w:firstLineChars="200"/>
      <w:jc w:val="left"/>
    </w:pPr>
    <w:rPr>
      <w:rFonts w:ascii="宋体" w:hAnsi="宋体"/>
    </w:rPr>
  </w:style>
  <w:style w:type="character" w:customStyle="1" w:styleId="122">
    <w:name w:val="纯文本 Char2"/>
    <w:qFormat/>
    <w:uiPriority w:val="0"/>
    <w:rPr>
      <w:rFonts w:ascii="宋体" w:hAnsi="Courier New" w:eastAsia="楷体_GB2312"/>
      <w:kern w:val="2"/>
      <w:sz w:val="24"/>
      <w:lang w:val="en-US" w:eastAsia="zh-CN"/>
    </w:rPr>
  </w:style>
  <w:style w:type="character" w:customStyle="1" w:styleId="123">
    <w:name w:val="标题 3 字符1"/>
    <w:qFormat/>
    <w:uiPriority w:val="0"/>
    <w:rPr>
      <w:b/>
      <w:bCs/>
      <w:kern w:val="2"/>
      <w:sz w:val="32"/>
      <w:szCs w:val="32"/>
    </w:rPr>
  </w:style>
  <w:style w:type="character" w:customStyle="1" w:styleId="124">
    <w:name w:val="纯文本 Char"/>
    <w:link w:val="32"/>
    <w:qFormat/>
    <w:uiPriority w:val="0"/>
    <w:rPr>
      <w:rFonts w:ascii="宋体" w:hAnsi="Courier New" w:cs="Courier New"/>
      <w:szCs w:val="21"/>
    </w:rPr>
  </w:style>
  <w:style w:type="character" w:customStyle="1" w:styleId="125">
    <w:name w:val="font01"/>
    <w:qFormat/>
    <w:uiPriority w:val="0"/>
    <w:rPr>
      <w:rFonts w:hint="eastAsia" w:ascii="宋体" w:hAnsi="宋体" w:eastAsia="宋体" w:cs="宋体"/>
      <w:color w:val="000000"/>
      <w:sz w:val="20"/>
      <w:szCs w:val="20"/>
      <w:u w:val="none"/>
    </w:rPr>
  </w:style>
  <w:style w:type="character" w:customStyle="1" w:styleId="126">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9">
    <w:name w:val="Char Char Char Char Char Char Char Char Char Char Char Char Char"/>
    <w:basedOn w:val="20"/>
    <w:qFormat/>
    <w:uiPriority w:val="0"/>
    <w:rPr>
      <w:rFonts w:ascii="Tahoma" w:hAnsi="Tahoma"/>
      <w:sz w:val="24"/>
      <w:szCs w:val="24"/>
    </w:rPr>
  </w:style>
  <w:style w:type="paragraph" w:customStyle="1" w:styleId="1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1">
    <w:name w:val="List Paragraph1"/>
    <w:basedOn w:val="1"/>
    <w:qFormat/>
    <w:uiPriority w:val="34"/>
    <w:pPr>
      <w:ind w:firstLine="420" w:firstLineChars="200"/>
    </w:pPr>
    <w:rPr>
      <w:rFonts w:ascii="Calibri" w:hAnsi="Calibri" w:eastAsia="宋体" w:cs="Times New Roman"/>
    </w:rPr>
  </w:style>
  <w:style w:type="paragraph" w:customStyle="1" w:styleId="132">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5">
    <w:name w:val="称呼 Char1"/>
    <w:basedOn w:val="63"/>
    <w:semiHidden/>
    <w:qFormat/>
    <w:uiPriority w:val="99"/>
  </w:style>
  <w:style w:type="paragraph" w:customStyle="1" w:styleId="136">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40">
    <w:name w:val="正文文本 3 Char1"/>
    <w:basedOn w:val="63"/>
    <w:semiHidden/>
    <w:qFormat/>
    <w:uiPriority w:val="99"/>
    <w:rPr>
      <w:sz w:val="16"/>
      <w:szCs w:val="16"/>
    </w:rPr>
  </w:style>
  <w:style w:type="paragraph" w:customStyle="1" w:styleId="141">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2">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3">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7">
    <w:name w:val="正文 B"/>
    <w:qFormat/>
    <w:uiPriority w:val="0"/>
    <w:rPr>
      <w:rFonts w:ascii="Helvetica" w:hAnsi="Helvetica" w:eastAsia="宋体" w:cs="Arial"/>
      <w:color w:val="000000"/>
      <w:sz w:val="22"/>
      <w:szCs w:val="22"/>
      <w:lang w:val="en-US" w:eastAsia="zh-CN" w:bidi="ar-SA"/>
    </w:rPr>
  </w:style>
  <w:style w:type="paragraph" w:customStyle="1" w:styleId="148">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9">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p16"/>
    <w:basedOn w:val="1"/>
    <w:qFormat/>
    <w:uiPriority w:val="0"/>
    <w:pPr>
      <w:widowControl/>
    </w:pPr>
    <w:rPr>
      <w:rFonts w:ascii="宋体" w:hAnsi="宋体" w:eastAsia="宋体" w:cs="宋体"/>
      <w:color w:val="000000"/>
      <w:kern w:val="0"/>
      <w:szCs w:val="21"/>
    </w:rPr>
  </w:style>
  <w:style w:type="paragraph" w:customStyle="1" w:styleId="152">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3">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4">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6">
    <w:name w:val="日期 Char"/>
    <w:basedOn w:val="63"/>
    <w:link w:val="35"/>
    <w:qFormat/>
    <w:uiPriority w:val="0"/>
    <w:rPr>
      <w:rFonts w:ascii="Times New Roman" w:hAnsi="Times New Roman" w:eastAsia="宋体" w:cs="Times New Roman"/>
      <w:sz w:val="24"/>
      <w:szCs w:val="24"/>
    </w:rPr>
  </w:style>
  <w:style w:type="paragraph" w:customStyle="1" w:styleId="157">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1">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2">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3">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5">
    <w:name w:val="正文文本 Char1"/>
    <w:basedOn w:val="63"/>
    <w:semiHidden/>
    <w:qFormat/>
    <w:uiPriority w:val="99"/>
  </w:style>
  <w:style w:type="paragraph" w:customStyle="1" w:styleId="166">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9">
    <w:name w:val="文档结构图 Char"/>
    <w:basedOn w:val="63"/>
    <w:link w:val="20"/>
    <w:qFormat/>
    <w:uiPriority w:val="0"/>
    <w:rPr>
      <w:rFonts w:ascii="Times New Roman" w:hAnsi="Times New Roman" w:eastAsia="宋体" w:cs="Times New Roman"/>
      <w:szCs w:val="21"/>
      <w:shd w:val="clear" w:color="auto" w:fill="000080"/>
    </w:rPr>
  </w:style>
  <w:style w:type="paragraph" w:customStyle="1" w:styleId="170">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1">
    <w:name w:val="正文文本缩进 2 Char"/>
    <w:basedOn w:val="63"/>
    <w:link w:val="36"/>
    <w:qFormat/>
    <w:uiPriority w:val="0"/>
    <w:rPr>
      <w:rFonts w:ascii="Arial" w:hAnsi="Arial" w:eastAsia="仿宋_GB2312" w:cs="Arial"/>
      <w:sz w:val="32"/>
      <w:szCs w:val="32"/>
    </w:rPr>
  </w:style>
  <w:style w:type="paragraph" w:customStyle="1" w:styleId="172">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3">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5">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6">
    <w:name w:val="正文文本缩进 Char1"/>
    <w:basedOn w:val="63"/>
    <w:semiHidden/>
    <w:qFormat/>
    <w:uiPriority w:val="99"/>
  </w:style>
  <w:style w:type="paragraph" w:customStyle="1" w:styleId="177">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8">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1">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4">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7">
    <w:name w:val="批注文字 Char1"/>
    <w:basedOn w:val="63"/>
    <w:semiHidden/>
    <w:qFormat/>
    <w:uiPriority w:val="99"/>
  </w:style>
  <w:style w:type="paragraph" w:customStyle="1" w:styleId="188">
    <w:name w:val="样式 小四"/>
    <w:basedOn w:val="1"/>
    <w:qFormat/>
    <w:uiPriority w:val="0"/>
    <w:rPr>
      <w:rFonts w:ascii="Times New Roman" w:hAnsi="Times New Roman" w:eastAsia="宋体" w:cs="Times New Roman"/>
      <w:sz w:val="24"/>
      <w:szCs w:val="24"/>
    </w:rPr>
  </w:style>
  <w:style w:type="character" w:customStyle="1" w:styleId="189">
    <w:name w:val="纯文本 Char3"/>
    <w:basedOn w:val="63"/>
    <w:semiHidden/>
    <w:qFormat/>
    <w:uiPriority w:val="99"/>
    <w:rPr>
      <w:rFonts w:ascii="宋体" w:hAnsi="Courier New" w:eastAsia="宋体" w:cs="Courier New"/>
      <w:szCs w:val="21"/>
    </w:rPr>
  </w:style>
  <w:style w:type="paragraph" w:customStyle="1" w:styleId="19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1">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3">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4">
    <w:name w:val="批注框文本 Char"/>
    <w:basedOn w:val="63"/>
    <w:link w:val="37"/>
    <w:qFormat/>
    <w:uiPriority w:val="0"/>
    <w:rPr>
      <w:rFonts w:ascii="Times New Roman" w:hAnsi="Times New Roman" w:eastAsia="宋体" w:cs="Times New Roman"/>
      <w:sz w:val="18"/>
      <w:szCs w:val="18"/>
    </w:rPr>
  </w:style>
  <w:style w:type="character" w:customStyle="1" w:styleId="195">
    <w:name w:val="正文首行缩进 2 Char"/>
    <w:basedOn w:val="176"/>
    <w:link w:val="59"/>
    <w:qFormat/>
    <w:uiPriority w:val="0"/>
    <w:rPr>
      <w:rFonts w:ascii="宋体" w:hAnsi="宋体" w:eastAsia="宋体"/>
      <w:szCs w:val="20"/>
    </w:rPr>
  </w:style>
  <w:style w:type="character" w:customStyle="1" w:styleId="196">
    <w:name w:val="HTML 预设格式 Char1"/>
    <w:basedOn w:val="63"/>
    <w:semiHidden/>
    <w:qFormat/>
    <w:uiPriority w:val="99"/>
    <w:rPr>
      <w:rFonts w:ascii="Courier New" w:hAnsi="Courier New" w:cs="Courier New"/>
      <w:sz w:val="20"/>
      <w:szCs w:val="20"/>
    </w:rPr>
  </w:style>
  <w:style w:type="character" w:customStyle="1" w:styleId="197">
    <w:name w:val="正文文本缩进 3 Char"/>
    <w:basedOn w:val="63"/>
    <w:link w:val="46"/>
    <w:qFormat/>
    <w:uiPriority w:val="0"/>
    <w:rPr>
      <w:rFonts w:ascii="Arial" w:hAnsi="Arial" w:eastAsia="仿宋_GB2312" w:cs="Arial"/>
      <w:color w:val="FFFF00"/>
      <w:sz w:val="32"/>
      <w:szCs w:val="32"/>
    </w:rPr>
  </w:style>
  <w:style w:type="character" w:customStyle="1" w:styleId="198">
    <w:name w:val="页脚 Char1"/>
    <w:basedOn w:val="63"/>
    <w:semiHidden/>
    <w:qFormat/>
    <w:uiPriority w:val="99"/>
    <w:rPr>
      <w:sz w:val="18"/>
      <w:szCs w:val="18"/>
    </w:rPr>
  </w:style>
  <w:style w:type="character" w:customStyle="1" w:styleId="199">
    <w:name w:val="正文首行缩进 Char"/>
    <w:basedOn w:val="165"/>
    <w:link w:val="58"/>
    <w:qFormat/>
    <w:uiPriority w:val="0"/>
    <w:rPr>
      <w:rFonts w:ascii="仿宋_GB2312" w:hAnsi="Times New Roman" w:eastAsia="仿宋_GB2312" w:cs="Times New Roman"/>
      <w:sz w:val="30"/>
      <w:szCs w:val="30"/>
    </w:rPr>
  </w:style>
  <w:style w:type="character" w:customStyle="1" w:styleId="200">
    <w:name w:val="页眉 Char1"/>
    <w:basedOn w:val="63"/>
    <w:semiHidden/>
    <w:qFormat/>
    <w:uiPriority w:val="99"/>
    <w:rPr>
      <w:sz w:val="18"/>
      <w:szCs w:val="18"/>
    </w:rPr>
  </w:style>
  <w:style w:type="character" w:customStyle="1" w:styleId="201">
    <w:name w:val="标题 Char2"/>
    <w:basedOn w:val="63"/>
    <w:qFormat/>
    <w:uiPriority w:val="10"/>
    <w:rPr>
      <w:rFonts w:eastAsia="宋体" w:asciiTheme="majorHAnsi" w:hAnsiTheme="majorHAnsi" w:cstheme="majorBidi"/>
      <w:b/>
      <w:bCs/>
      <w:sz w:val="32"/>
      <w:szCs w:val="32"/>
    </w:rPr>
  </w:style>
  <w:style w:type="character" w:customStyle="1" w:styleId="202">
    <w:name w:val="正文文本 2 Char"/>
    <w:basedOn w:val="63"/>
    <w:link w:val="52"/>
    <w:qFormat/>
    <w:uiPriority w:val="0"/>
    <w:rPr>
      <w:rFonts w:ascii="楷体_GB2312" w:hAnsi="Times New Roman" w:eastAsia="楷体_GB2312" w:cs="Times New Roman"/>
      <w:sz w:val="28"/>
      <w:szCs w:val="28"/>
    </w:rPr>
  </w:style>
  <w:style w:type="character" w:customStyle="1" w:styleId="203">
    <w:name w:val="批注主题 Char"/>
    <w:basedOn w:val="187"/>
    <w:link w:val="57"/>
    <w:qFormat/>
    <w:uiPriority w:val="0"/>
    <w:rPr>
      <w:b/>
      <w:bCs/>
      <w:szCs w:val="21"/>
    </w:rPr>
  </w:style>
  <w:style w:type="paragraph" w:customStyle="1" w:styleId="20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5">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6">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7">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9">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0">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1">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4">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5">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9">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20">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head 1.1.1"/>
    <w:basedOn w:val="131"/>
    <w:qFormat/>
    <w:uiPriority w:val="0"/>
    <w:pPr>
      <w:tabs>
        <w:tab w:val="left" w:pos="360"/>
      </w:tabs>
      <w:ind w:left="360" w:firstLine="0" w:firstLineChars="0"/>
    </w:pPr>
    <w:rPr>
      <w:rFonts w:ascii="Times New Roman" w:hAnsi="Times New Roman"/>
      <w:bCs/>
      <w:szCs w:val="24"/>
    </w:rPr>
  </w:style>
  <w:style w:type="paragraph" w:customStyle="1" w:styleId="222">
    <w:name w:val="p0"/>
    <w:basedOn w:val="1"/>
    <w:qFormat/>
    <w:uiPriority w:val="0"/>
    <w:pPr>
      <w:widowControl/>
    </w:pPr>
    <w:rPr>
      <w:rFonts w:ascii="Times New Roman" w:hAnsi="Times New Roman" w:eastAsia="宋体" w:cs="Times New Roman"/>
      <w:color w:val="000000"/>
      <w:kern w:val="0"/>
      <w:szCs w:val="21"/>
    </w:rPr>
  </w:style>
  <w:style w:type="paragraph" w:customStyle="1" w:styleId="223">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4">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7">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9">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0">
    <w:name w:val="_Style 2"/>
    <w:basedOn w:val="1"/>
    <w:qFormat/>
    <w:uiPriority w:val="34"/>
    <w:pPr>
      <w:ind w:firstLine="420"/>
    </w:pPr>
    <w:rPr>
      <w:rFonts w:ascii="Calibri" w:hAnsi="Calibri" w:eastAsia="宋体" w:cs="Times New Roman"/>
      <w:color w:val="000000"/>
      <w:kern w:val="1"/>
    </w:rPr>
  </w:style>
  <w:style w:type="paragraph" w:customStyle="1" w:styleId="23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3">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Char"/>
    <w:basedOn w:val="20"/>
    <w:qFormat/>
    <w:uiPriority w:val="0"/>
    <w:rPr>
      <w:rFonts w:ascii="Tahoma" w:hAnsi="Tahoma"/>
      <w:sz w:val="24"/>
      <w:szCs w:val="24"/>
    </w:rPr>
  </w:style>
  <w:style w:type="paragraph" w:customStyle="1" w:styleId="235">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6">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7">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9">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0">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8">
    <w:name w:val="Char1 Char Char Char Char Char Char"/>
    <w:basedOn w:val="1"/>
    <w:qFormat/>
    <w:uiPriority w:val="0"/>
    <w:rPr>
      <w:rFonts w:ascii="Tahoma" w:hAnsi="Tahoma" w:eastAsia="宋体" w:cs="Times New Roman"/>
      <w:sz w:val="24"/>
      <w:szCs w:val="20"/>
    </w:rPr>
  </w:style>
  <w:style w:type="paragraph" w:customStyle="1" w:styleId="2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0">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1">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3">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6">
    <w:name w:val="表格样式 2"/>
    <w:qFormat/>
    <w:uiPriority w:val="0"/>
    <w:rPr>
      <w:rFonts w:ascii="Arial Unicode MS" w:hAnsi="Arial Unicode MS" w:eastAsia="宋体" w:cs="Arial"/>
      <w:color w:val="000000"/>
      <w:lang w:val="zh-TW" w:eastAsia="zh-TW" w:bidi="ar-SA"/>
    </w:rPr>
  </w:style>
  <w:style w:type="paragraph" w:customStyle="1" w:styleId="2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8">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9">
    <w:name w:val="Char Char Char"/>
    <w:basedOn w:val="1"/>
    <w:qFormat/>
    <w:uiPriority w:val="0"/>
    <w:rPr>
      <w:rFonts w:ascii="Tahoma" w:hAnsi="Tahoma" w:eastAsia="宋体" w:cs="Times New Roman"/>
      <w:sz w:val="24"/>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1">
    <w:name w:val="Char Char Char Char1"/>
    <w:basedOn w:val="20"/>
    <w:qFormat/>
    <w:uiPriority w:val="0"/>
    <w:pPr>
      <w:adjustRightInd w:val="0"/>
      <w:snapToGrid w:val="0"/>
      <w:spacing w:line="360" w:lineRule="auto"/>
    </w:pPr>
    <w:rPr>
      <w:rFonts w:ascii="Tahoma" w:hAnsi="Tahoma"/>
      <w:sz w:val="24"/>
      <w:szCs w:val="24"/>
    </w:rPr>
  </w:style>
  <w:style w:type="paragraph" w:customStyle="1" w:styleId="262">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8">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0">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1">
    <w:name w:val="Char Char1 Char Char Char Char Char"/>
    <w:basedOn w:val="1"/>
    <w:qFormat/>
    <w:uiPriority w:val="0"/>
    <w:rPr>
      <w:rFonts w:ascii="Tahoma" w:hAnsi="Tahoma" w:eastAsia="宋体" w:cs="Tahoma"/>
      <w:sz w:val="24"/>
      <w:szCs w:val="24"/>
    </w:rPr>
  </w:style>
  <w:style w:type="paragraph" w:customStyle="1" w:styleId="272">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3">
    <w:name w:val="表格"/>
    <w:basedOn w:val="1"/>
    <w:qFormat/>
    <w:uiPriority w:val="0"/>
    <w:pPr>
      <w:jc w:val="center"/>
    </w:pPr>
    <w:rPr>
      <w:rFonts w:ascii="Times New Roman" w:hAnsi="Times New Roman" w:eastAsia="宋体" w:cs="Times New Roman"/>
      <w:kern w:val="10"/>
      <w:szCs w:val="20"/>
    </w:rPr>
  </w:style>
  <w:style w:type="paragraph" w:customStyle="1" w:styleId="274">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6">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7">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8">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9">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80">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1">
    <w:name w:val="纯文本 New"/>
    <w:basedOn w:val="282"/>
    <w:qFormat/>
    <w:uiPriority w:val="0"/>
    <w:rPr>
      <w:rFonts w:ascii="宋体" w:hAnsi="宋体" w:cs="Courier New"/>
    </w:rPr>
  </w:style>
  <w:style w:type="paragraph" w:customStyle="1" w:styleId="282">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3">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4">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5">
    <w:name w:val="样式 标题 3二级节名(C+F3)H3Heading 3 - oldh33rd level3l3CTLeve..."/>
    <w:basedOn w:val="6"/>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6">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7">
    <w:name w:val="Char Char Char Char"/>
    <w:basedOn w:val="20"/>
    <w:qFormat/>
    <w:uiPriority w:val="0"/>
    <w:pPr>
      <w:adjustRightInd w:val="0"/>
      <w:snapToGrid w:val="0"/>
      <w:spacing w:line="360" w:lineRule="auto"/>
    </w:pPr>
    <w:rPr>
      <w:rFonts w:ascii="Tahoma" w:hAnsi="Tahoma"/>
      <w:sz w:val="24"/>
      <w:szCs w:val="24"/>
    </w:rPr>
  </w:style>
  <w:style w:type="paragraph" w:customStyle="1" w:styleId="288">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9">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0">
    <w:name w:val="列出段落1"/>
    <w:basedOn w:val="1"/>
    <w:qFormat/>
    <w:uiPriority w:val="0"/>
    <w:pPr>
      <w:ind w:firstLine="420" w:firstLineChars="200"/>
    </w:pPr>
    <w:rPr>
      <w:rFonts w:ascii="Calibri" w:hAnsi="Calibri" w:eastAsia="宋体" w:cs="Times New Roman"/>
    </w:rPr>
  </w:style>
  <w:style w:type="paragraph" w:customStyle="1" w:styleId="291">
    <w:name w:val="4"/>
    <w:basedOn w:val="1"/>
    <w:next w:val="4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2">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3">
    <w:name w:val="纯文本11"/>
    <w:basedOn w:val="1"/>
    <w:qFormat/>
    <w:uiPriority w:val="0"/>
    <w:pPr>
      <w:adjustRightInd w:val="0"/>
    </w:pPr>
    <w:rPr>
      <w:rFonts w:ascii="宋体" w:hAnsi="Courier New" w:eastAsia="楷体_GB2312" w:cs="Times New Roman"/>
      <w:sz w:val="28"/>
      <w:szCs w:val="20"/>
    </w:rPr>
  </w:style>
  <w:style w:type="paragraph" w:customStyle="1" w:styleId="29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6">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9">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300">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1">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3">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4">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6">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7">
    <w:name w:val="修订1"/>
    <w:semiHidden/>
    <w:qFormat/>
    <w:uiPriority w:val="99"/>
    <w:rPr>
      <w:rFonts w:ascii="Times New Roman" w:hAnsi="Times New Roman" w:eastAsia="宋体" w:cs="Times New Roman"/>
      <w:kern w:val="2"/>
      <w:sz w:val="21"/>
      <w:lang w:val="en-US" w:eastAsia="zh-CN" w:bidi="ar-SA"/>
    </w:rPr>
  </w:style>
  <w:style w:type="paragraph" w:customStyle="1" w:styleId="308">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1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3">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6">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7">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9">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0">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1">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2">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3">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4">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5">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6">
    <w:name w:val="1"/>
    <w:basedOn w:val="1"/>
    <w:next w:val="26"/>
    <w:qFormat/>
    <w:uiPriority w:val="0"/>
    <w:pPr>
      <w:spacing w:line="360" w:lineRule="auto"/>
    </w:pPr>
    <w:rPr>
      <w:rFonts w:ascii="楷体_GB2312" w:hAnsi="Times New Roman" w:eastAsia="楷体_GB2312" w:cs="Times New Roman"/>
      <w:color w:val="000000"/>
      <w:sz w:val="24"/>
      <w:szCs w:val="20"/>
    </w:rPr>
  </w:style>
  <w:style w:type="paragraph" w:customStyle="1" w:styleId="327">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9">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1">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2">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3">
    <w:name w:val="TOC 标题1"/>
    <w:basedOn w:val="3"/>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7">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9">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40">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2">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3">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5">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6">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7">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8">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9">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50">
    <w:name w:val="Body Text(ch)"/>
    <w:basedOn w:val="1"/>
    <w:next w:val="26"/>
    <w:qFormat/>
    <w:uiPriority w:val="0"/>
    <w:pPr>
      <w:spacing w:after="120"/>
    </w:pPr>
    <w:rPr>
      <w:rFonts w:ascii="宋体" w:hAnsi="Arial" w:eastAsia="宋体" w:cs="Times New Roman"/>
      <w:bCs/>
      <w:iCs/>
      <w:szCs w:val="24"/>
    </w:rPr>
  </w:style>
  <w:style w:type="paragraph" w:customStyle="1" w:styleId="351">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3">
    <w:name w:val="网格型1"/>
    <w:basedOn w:val="6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6624-6BC2-47A5-A7CE-B2336B09256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39</Pages>
  <Words>12549</Words>
  <Characters>13250</Characters>
  <Lines>80</Lines>
  <Paragraphs>22</Paragraphs>
  <TotalTime>5</TotalTime>
  <ScaleCrop>false</ScaleCrop>
  <LinksUpToDate>false</LinksUpToDate>
  <CharactersWithSpaces>13721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2025-06-19T10:42:00Z</dcterms:created>
  <dc:creator>Windows User</dc:creator>
  <cp:lastModifiedBy>阳光飘下</cp:lastModifiedBy>
  <cp:lastPrinted>2020-05-29T08:50:00Z</cp:lastPrinted>
  <dcterms:modified xsi:type="dcterms:W3CDTF">2025-06-26T01:14:52Z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CCF174B46133422B8108111B051441E0_12</vt:lpwstr>
  </property>
  <property fmtid="{D5CDD505-2E9C-101B-9397-08002B2CF9AE}" pid="4" name="KSOTemplateDocerSaveRecord">
    <vt:lpwstr>eyJoZGlkIjoiZDc3NzBkYzFhOGFkMGZhZjJiMmM2MjFlZmQzNmE4YjEiLCJ1c2VySWQiOiI1NDcwNzc4OTIifQ==</vt:lpwstr>
  </property>
</Properties>
</file>